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1209A" w14:textId="110B62F7" w:rsidR="00B05897" w:rsidRPr="00163FA1" w:rsidRDefault="000E6302" w:rsidP="00C02DFF">
      <w:r w:rsidRPr="00163FA1">
        <w:rPr>
          <w:noProof/>
        </w:rPr>
        <w:drawing>
          <wp:anchor distT="0" distB="0" distL="114300" distR="114300" simplePos="0" relativeHeight="251661312" behindDoc="0" locked="0" layoutInCell="1" allowOverlap="1" wp14:anchorId="214AFD6F" wp14:editId="4253602A">
            <wp:simplePos x="0" y="0"/>
            <wp:positionH relativeFrom="margin">
              <wp:posOffset>0</wp:posOffset>
            </wp:positionH>
            <wp:positionV relativeFrom="paragraph">
              <wp:posOffset>0</wp:posOffset>
            </wp:positionV>
            <wp:extent cx="1765300" cy="444033"/>
            <wp:effectExtent l="0" t="0" r="6350" b="0"/>
            <wp:wrapSquare wrapText="bothSides"/>
            <wp:docPr id="1"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444033"/>
                    </a:xfrm>
                    <a:prstGeom prst="rect">
                      <a:avLst/>
                    </a:prstGeom>
                    <a:noFill/>
                    <a:ln>
                      <a:noFill/>
                    </a:ln>
                  </pic:spPr>
                </pic:pic>
              </a:graphicData>
            </a:graphic>
          </wp:anchor>
        </w:drawing>
      </w:r>
    </w:p>
    <w:p w14:paraId="0791DC03" w14:textId="77777777" w:rsidR="00B92BBF" w:rsidRDefault="00B92BBF" w:rsidP="00B92BBF">
      <w:pPr>
        <w:pStyle w:val="Heading1"/>
      </w:pPr>
    </w:p>
    <w:p w14:paraId="435ADD60" w14:textId="379319DC" w:rsidR="00BD29F0" w:rsidRPr="00014B60" w:rsidRDefault="00B42375" w:rsidP="00B92BBF">
      <w:pPr>
        <w:pStyle w:val="Heading1"/>
        <w:rPr>
          <w:lang w:val="fr-CA"/>
        </w:rPr>
      </w:pPr>
      <w:bookmarkStart w:id="0" w:name="_Hlk187253751"/>
      <w:r w:rsidRPr="00014B60">
        <w:rPr>
          <w:lang w:val="fr-CA"/>
        </w:rPr>
        <w:t xml:space="preserve">FPI </w:t>
      </w:r>
      <w:r w:rsidR="00191EE5" w:rsidRPr="00014B60">
        <w:rPr>
          <w:lang w:val="fr-CA"/>
        </w:rPr>
        <w:t xml:space="preserve">BTB </w:t>
      </w:r>
      <w:r w:rsidR="004D568D" w:rsidRPr="00014B60">
        <w:rPr>
          <w:lang w:val="fr-CA"/>
        </w:rPr>
        <w:t>a</w:t>
      </w:r>
      <w:r w:rsidR="00691DF4" w:rsidRPr="00014B60">
        <w:rPr>
          <w:lang w:val="fr-CA"/>
        </w:rPr>
        <w:t>nn</w:t>
      </w:r>
      <w:r w:rsidR="00DD4C1B" w:rsidRPr="00014B60">
        <w:rPr>
          <w:lang w:val="fr-CA"/>
        </w:rPr>
        <w:t xml:space="preserve">once </w:t>
      </w:r>
      <w:r w:rsidR="007F40EA" w:rsidRPr="00014B60">
        <w:rPr>
          <w:lang w:val="fr-CA"/>
        </w:rPr>
        <w:t>l</w:t>
      </w:r>
      <w:r w:rsidR="00014B60" w:rsidRPr="00014B60">
        <w:rPr>
          <w:lang w:val="fr-CA"/>
        </w:rPr>
        <w:t>’</w:t>
      </w:r>
      <w:r w:rsidR="007F40EA" w:rsidRPr="00014B60">
        <w:rPr>
          <w:lang w:val="fr-CA"/>
        </w:rPr>
        <w:t>a</w:t>
      </w:r>
      <w:r w:rsidR="00014B60" w:rsidRPr="00014B60">
        <w:rPr>
          <w:lang w:val="fr-CA"/>
        </w:rPr>
        <w:t>ugmentation</w:t>
      </w:r>
      <w:r w:rsidR="007F40EA" w:rsidRPr="00014B60">
        <w:rPr>
          <w:lang w:val="fr-CA"/>
        </w:rPr>
        <w:t xml:space="preserve"> </w:t>
      </w:r>
      <w:r w:rsidR="00014B60" w:rsidRPr="00014B60">
        <w:rPr>
          <w:lang w:val="fr-CA"/>
        </w:rPr>
        <w:t>de la taille</w:t>
      </w:r>
      <w:r w:rsidR="007F40EA" w:rsidRPr="00014B60">
        <w:rPr>
          <w:lang w:val="fr-CA"/>
        </w:rPr>
        <w:t xml:space="preserve"> </w:t>
      </w:r>
      <w:r w:rsidR="00014B60" w:rsidRPr="00014B60">
        <w:rPr>
          <w:lang w:val="fr-CA"/>
        </w:rPr>
        <w:t xml:space="preserve">du </w:t>
      </w:r>
      <w:r w:rsidR="004D568D" w:rsidRPr="00014B60">
        <w:rPr>
          <w:lang w:val="fr-CA"/>
        </w:rPr>
        <w:t>f</w:t>
      </w:r>
      <w:r w:rsidR="00DD4C1B" w:rsidRPr="00014B60">
        <w:rPr>
          <w:lang w:val="fr-CA"/>
        </w:rPr>
        <w:t>inancement de</w:t>
      </w:r>
      <w:r w:rsidR="007F40EA" w:rsidRPr="00014B60">
        <w:rPr>
          <w:lang w:val="fr-CA"/>
        </w:rPr>
        <w:t xml:space="preserve"> </w:t>
      </w:r>
      <w:r w:rsidR="00014B60">
        <w:rPr>
          <w:lang w:val="fr-CA"/>
        </w:rPr>
        <w:t>débentures convertibles annoncé précédemment à 35 millions $</w:t>
      </w:r>
    </w:p>
    <w:p w14:paraId="6DF2DADB" w14:textId="77777777" w:rsidR="004D568D" w:rsidRDefault="004D568D" w:rsidP="004D568D">
      <w:pPr>
        <w:rPr>
          <w:i/>
          <w:iCs/>
          <w:color w:val="647582"/>
          <w:lang w:val="fr-CA"/>
        </w:rPr>
      </w:pPr>
      <w:r w:rsidRPr="004D568D">
        <w:rPr>
          <w:i/>
          <w:iCs/>
          <w:color w:val="647582"/>
          <w:lang w:val="fr-CA"/>
        </w:rPr>
        <w:t>Le présent communiqué de presse ne doit pas être distribué aux agences de transmission des États-Unis ni diffusé aux États-Unis</w:t>
      </w:r>
    </w:p>
    <w:p w14:paraId="754947B1" w14:textId="22DE22CB" w:rsidR="00530883" w:rsidRPr="000048A2" w:rsidRDefault="00530883" w:rsidP="004D568D">
      <w:pPr>
        <w:rPr>
          <w:i/>
          <w:iCs/>
          <w:color w:val="647582"/>
          <w:vertAlign w:val="superscript"/>
          <w:lang w:val="fr-CA"/>
        </w:rPr>
      </w:pPr>
      <w:r w:rsidRPr="000048A2">
        <w:rPr>
          <w:i/>
          <w:iCs/>
          <w:color w:val="647582"/>
          <w:lang w:val="fr-CA"/>
        </w:rPr>
        <w:t>Le supplément de prospectus préalable, le prospectus de base correspondant et leur modification sont accessibles au moyen de SEDAR+ ou serons accessibles au moyen de SEDAR+ dans un délai de deux jours ouvrables, selon le cas.</w:t>
      </w:r>
    </w:p>
    <w:p w14:paraId="687BD02B" w14:textId="69B6CD12" w:rsidR="001B0F7F" w:rsidRPr="00A635F3" w:rsidRDefault="00B05897" w:rsidP="00040A0D">
      <w:pPr>
        <w:spacing w:before="240"/>
        <w:rPr>
          <w:color w:val="213042"/>
          <w:lang w:val="fr-CA"/>
        </w:rPr>
      </w:pPr>
      <w:r w:rsidRPr="00A635F3">
        <w:rPr>
          <w:color w:val="213042"/>
          <w:lang w:val="fr-CA"/>
        </w:rPr>
        <w:t>Montréal (Québec</w:t>
      </w:r>
      <w:r w:rsidR="006D4043" w:rsidRPr="00A635F3">
        <w:rPr>
          <w:color w:val="213042"/>
          <w:lang w:val="fr-CA"/>
        </w:rPr>
        <w:t xml:space="preserve">) </w:t>
      </w:r>
      <w:r w:rsidR="00A635F3" w:rsidRPr="00A635F3">
        <w:rPr>
          <w:color w:val="213042"/>
          <w:lang w:val="fr-CA"/>
        </w:rPr>
        <w:t xml:space="preserve">le </w:t>
      </w:r>
      <w:r w:rsidR="007F40EA">
        <w:rPr>
          <w:color w:val="213042"/>
          <w:lang w:val="fr-CA"/>
        </w:rPr>
        <w:t>15</w:t>
      </w:r>
      <w:r w:rsidR="00A635F3" w:rsidRPr="00B97C9A">
        <w:rPr>
          <w:color w:val="213042"/>
          <w:lang w:val="fr-CA"/>
        </w:rPr>
        <w:t xml:space="preserve"> </w:t>
      </w:r>
      <w:r w:rsidR="00A635F3" w:rsidRPr="00B42375">
        <w:rPr>
          <w:color w:val="213042"/>
          <w:lang w:val="fr-CA"/>
        </w:rPr>
        <w:t>janvier</w:t>
      </w:r>
      <w:r w:rsidR="00A635F3" w:rsidRPr="00A635F3">
        <w:rPr>
          <w:color w:val="213042"/>
          <w:lang w:val="fr-CA"/>
        </w:rPr>
        <w:t xml:space="preserve"> </w:t>
      </w:r>
      <w:r w:rsidRPr="00A635F3">
        <w:rPr>
          <w:color w:val="213042"/>
          <w:lang w:val="fr-CA"/>
        </w:rPr>
        <w:t>202</w:t>
      </w:r>
      <w:r w:rsidR="00691DF4" w:rsidRPr="00A635F3">
        <w:rPr>
          <w:color w:val="213042"/>
          <w:lang w:val="fr-CA"/>
        </w:rPr>
        <w:t>5</w:t>
      </w:r>
      <w:r w:rsidR="00B42375">
        <w:rPr>
          <w:color w:val="213042"/>
          <w:lang w:val="fr-CA"/>
        </w:rPr>
        <w:t xml:space="preserve"> </w:t>
      </w:r>
      <w:r w:rsidRPr="00A635F3">
        <w:rPr>
          <w:color w:val="213042"/>
          <w:lang w:val="fr-CA"/>
        </w:rPr>
        <w:t xml:space="preserve">: </w:t>
      </w:r>
      <w:r w:rsidR="00B42375" w:rsidRPr="00B42375">
        <w:rPr>
          <w:color w:val="213042"/>
          <w:lang w:val="fr-CA"/>
        </w:rPr>
        <w:t xml:space="preserve">Le </w:t>
      </w:r>
      <w:r w:rsidR="00A635F3" w:rsidRPr="00A635F3">
        <w:rPr>
          <w:color w:val="213042"/>
          <w:lang w:val="fr-CA"/>
        </w:rPr>
        <w:t>Fonds de placement immobilier</w:t>
      </w:r>
      <w:r w:rsidR="00A635F3">
        <w:rPr>
          <w:color w:val="213042"/>
          <w:lang w:val="fr-CA"/>
        </w:rPr>
        <w:t xml:space="preserve"> </w:t>
      </w:r>
      <w:r w:rsidRPr="00A635F3">
        <w:rPr>
          <w:color w:val="213042"/>
          <w:lang w:val="fr-CA"/>
        </w:rPr>
        <w:t>BTB</w:t>
      </w:r>
      <w:r w:rsidR="002B7DC9" w:rsidRPr="00A635F3">
        <w:rPr>
          <w:color w:val="213042"/>
          <w:lang w:val="fr-CA"/>
        </w:rPr>
        <w:br/>
      </w:r>
      <w:r w:rsidRPr="00A635F3">
        <w:rPr>
          <w:color w:val="213042"/>
          <w:lang w:val="fr-CA"/>
        </w:rPr>
        <w:t>(</w:t>
      </w:r>
      <w:r w:rsidRPr="00A635F3">
        <w:rPr>
          <w:b/>
          <w:color w:val="647582"/>
          <w:lang w:val="fr-CA"/>
        </w:rPr>
        <w:t>TSX: BTB.UN</w:t>
      </w:r>
      <w:r w:rsidRPr="00A635F3">
        <w:rPr>
          <w:color w:val="213042"/>
          <w:lang w:val="fr-CA"/>
        </w:rPr>
        <w:t>) (</w:t>
      </w:r>
      <w:r w:rsidR="00A635F3">
        <w:rPr>
          <w:color w:val="213042"/>
          <w:lang w:val="fr-CA"/>
        </w:rPr>
        <w:t>« </w:t>
      </w:r>
      <w:r w:rsidRPr="00A635F3">
        <w:rPr>
          <w:b/>
          <w:color w:val="647582"/>
          <w:lang w:val="fr-CA"/>
        </w:rPr>
        <w:t>BTB</w:t>
      </w:r>
      <w:r w:rsidR="00A635F3">
        <w:rPr>
          <w:color w:val="213042"/>
          <w:lang w:val="fr-CA"/>
        </w:rPr>
        <w:t> »</w:t>
      </w:r>
      <w:r w:rsidR="004C1C92" w:rsidRPr="00A635F3">
        <w:rPr>
          <w:color w:val="213042"/>
          <w:lang w:val="fr-CA"/>
        </w:rPr>
        <w:t xml:space="preserve"> </w:t>
      </w:r>
      <w:r w:rsidR="0008348E" w:rsidRPr="00A635F3">
        <w:rPr>
          <w:color w:val="213042"/>
          <w:lang w:val="fr-CA"/>
        </w:rPr>
        <w:t>o</w:t>
      </w:r>
      <w:r w:rsidR="00A635F3" w:rsidRPr="00A635F3">
        <w:rPr>
          <w:color w:val="213042"/>
          <w:lang w:val="fr-CA"/>
        </w:rPr>
        <w:t>u le</w:t>
      </w:r>
      <w:r w:rsidR="00F510AD" w:rsidRPr="00A635F3">
        <w:rPr>
          <w:color w:val="213042"/>
          <w:lang w:val="fr-CA"/>
        </w:rPr>
        <w:t xml:space="preserve"> </w:t>
      </w:r>
      <w:r w:rsidR="00A635F3">
        <w:rPr>
          <w:color w:val="213042"/>
          <w:lang w:val="fr-CA"/>
        </w:rPr>
        <w:t>« </w:t>
      </w:r>
      <w:r w:rsidR="00B42375">
        <w:rPr>
          <w:b/>
          <w:bCs/>
          <w:color w:val="647582"/>
          <w:lang w:val="fr-CA"/>
        </w:rPr>
        <w:t>Fonds</w:t>
      </w:r>
      <w:r w:rsidR="00A635F3">
        <w:rPr>
          <w:color w:val="213042"/>
          <w:lang w:val="fr-CA"/>
        </w:rPr>
        <w:t> »</w:t>
      </w:r>
      <w:r w:rsidRPr="00A635F3">
        <w:rPr>
          <w:color w:val="213042"/>
          <w:lang w:val="fr-CA"/>
        </w:rPr>
        <w:t xml:space="preserve">) </w:t>
      </w:r>
      <w:r w:rsidR="007F40EA">
        <w:rPr>
          <w:color w:val="213042"/>
          <w:lang w:val="fr-CA"/>
        </w:rPr>
        <w:t>est heureux d’</w:t>
      </w:r>
      <w:r w:rsidR="00A635F3" w:rsidRPr="00A635F3">
        <w:rPr>
          <w:color w:val="213042"/>
          <w:lang w:val="fr-CA"/>
        </w:rPr>
        <w:t>annonce</w:t>
      </w:r>
      <w:r w:rsidR="007F40EA">
        <w:rPr>
          <w:color w:val="213042"/>
          <w:lang w:val="fr-CA"/>
        </w:rPr>
        <w:t>r</w:t>
      </w:r>
      <w:r w:rsidR="00A635F3" w:rsidRPr="00A635F3">
        <w:rPr>
          <w:color w:val="213042"/>
          <w:lang w:val="fr-CA"/>
        </w:rPr>
        <w:t xml:space="preserve"> qu</w:t>
      </w:r>
      <w:r w:rsidR="00014B60">
        <w:rPr>
          <w:color w:val="213042"/>
          <w:lang w:val="fr-CA"/>
        </w:rPr>
        <w:t xml:space="preserve">e, en raison d’une demande excédentaire, </w:t>
      </w:r>
      <w:r w:rsidR="00A635F3" w:rsidRPr="00A635F3">
        <w:rPr>
          <w:color w:val="213042"/>
          <w:lang w:val="fr-CA"/>
        </w:rPr>
        <w:t>il a conclu un</w:t>
      </w:r>
      <w:r w:rsidR="007F40EA">
        <w:rPr>
          <w:color w:val="213042"/>
          <w:lang w:val="fr-CA"/>
        </w:rPr>
        <w:t xml:space="preserve">e entente modifiée </w:t>
      </w:r>
      <w:r w:rsidR="00A635F3" w:rsidRPr="00A635F3">
        <w:rPr>
          <w:color w:val="213042"/>
          <w:lang w:val="fr-CA"/>
        </w:rPr>
        <w:t xml:space="preserve">avec </w:t>
      </w:r>
      <w:r w:rsidR="007F40EA">
        <w:rPr>
          <w:color w:val="213042"/>
          <w:lang w:val="fr-CA"/>
        </w:rPr>
        <w:t xml:space="preserve">le </w:t>
      </w:r>
      <w:r w:rsidR="00A635F3" w:rsidRPr="00A635F3">
        <w:rPr>
          <w:color w:val="213042"/>
          <w:lang w:val="fr-CA"/>
        </w:rPr>
        <w:t>syndicat de preneurs fermes mené par Financière Banque Nationale Inc.</w:t>
      </w:r>
      <w:r w:rsidR="00EE4968" w:rsidRPr="00A635F3">
        <w:rPr>
          <w:color w:val="213042"/>
          <w:lang w:val="fr-CA"/>
        </w:rPr>
        <w:t xml:space="preserve"> </w:t>
      </w:r>
      <w:r w:rsidR="009518A1" w:rsidRPr="009518A1">
        <w:rPr>
          <w:color w:val="213042"/>
          <w:lang w:val="fr-CA"/>
        </w:rPr>
        <w:t>(le « Teneur de livre », et collectivement avec le syndicat de preneurs fermes, les « Preneurs Fermes »)</w:t>
      </w:r>
      <w:r w:rsidR="00EE4968" w:rsidRPr="00A635F3">
        <w:rPr>
          <w:color w:val="213042"/>
          <w:lang w:val="fr-CA"/>
        </w:rPr>
        <w:t xml:space="preserve"> </w:t>
      </w:r>
      <w:r w:rsidR="007F40EA">
        <w:rPr>
          <w:color w:val="213042"/>
          <w:lang w:val="fr-CA"/>
        </w:rPr>
        <w:t xml:space="preserve">pour augmenter l’offre de ses </w:t>
      </w:r>
      <w:r w:rsidR="00A635F3" w:rsidRPr="00A635F3">
        <w:rPr>
          <w:color w:val="213042"/>
          <w:lang w:val="fr-CA"/>
        </w:rPr>
        <w:t>débentures convertibles</w:t>
      </w:r>
      <w:r w:rsidR="007F40EA">
        <w:rPr>
          <w:color w:val="213042"/>
          <w:lang w:val="fr-CA"/>
        </w:rPr>
        <w:t xml:space="preserve"> annoncé</w:t>
      </w:r>
      <w:r w:rsidR="00F719B0">
        <w:rPr>
          <w:color w:val="213042"/>
          <w:lang w:val="fr-CA"/>
        </w:rPr>
        <w:t>e précédemment</w:t>
      </w:r>
      <w:r w:rsidR="00014B60">
        <w:rPr>
          <w:color w:val="213042"/>
          <w:lang w:val="fr-CA"/>
        </w:rPr>
        <w:t>. BTB émettra désormais</w:t>
      </w:r>
      <w:r w:rsidR="007F40EA">
        <w:rPr>
          <w:color w:val="213042"/>
          <w:lang w:val="fr-CA"/>
        </w:rPr>
        <w:t xml:space="preserve"> </w:t>
      </w:r>
      <w:r w:rsidR="00014B60">
        <w:rPr>
          <w:color w:val="213042"/>
          <w:lang w:val="fr-CA"/>
        </w:rPr>
        <w:t xml:space="preserve">un capital global de 35 millions $ </w:t>
      </w:r>
      <w:r w:rsidR="000559B1">
        <w:rPr>
          <w:color w:val="213042"/>
          <w:lang w:val="fr-CA"/>
        </w:rPr>
        <w:t xml:space="preserve">de débentures convertibles </w:t>
      </w:r>
      <w:r w:rsidR="00A635F3" w:rsidRPr="00A635F3">
        <w:rPr>
          <w:color w:val="213042"/>
          <w:lang w:val="fr-CA"/>
        </w:rPr>
        <w:t>subordonnées et non garanties</w:t>
      </w:r>
      <w:r w:rsidR="009518A1">
        <w:rPr>
          <w:color w:val="213042"/>
          <w:lang w:val="fr-CA"/>
        </w:rPr>
        <w:t xml:space="preserve"> </w:t>
      </w:r>
      <w:r w:rsidR="004B256F">
        <w:rPr>
          <w:color w:val="213042"/>
          <w:lang w:val="fr-CA"/>
        </w:rPr>
        <w:t xml:space="preserve">de </w:t>
      </w:r>
      <w:r w:rsidR="004B256F" w:rsidRPr="00610DB3">
        <w:rPr>
          <w:b/>
          <w:bCs/>
          <w:color w:val="213042"/>
          <w:lang w:val="fr-CA"/>
        </w:rPr>
        <w:t>série I</w:t>
      </w:r>
      <w:r w:rsidR="004B256F">
        <w:rPr>
          <w:color w:val="213042"/>
          <w:lang w:val="fr-CA"/>
        </w:rPr>
        <w:t xml:space="preserve"> </w:t>
      </w:r>
      <w:r w:rsidR="009518A1" w:rsidRPr="009518A1">
        <w:rPr>
          <w:color w:val="213042"/>
          <w:lang w:val="fr-CA"/>
        </w:rPr>
        <w:t>(l</w:t>
      </w:r>
      <w:proofErr w:type="gramStart"/>
      <w:r w:rsidR="009518A1" w:rsidRPr="009518A1">
        <w:rPr>
          <w:color w:val="213042"/>
          <w:lang w:val="fr-CA"/>
        </w:rPr>
        <w:t>’«</w:t>
      </w:r>
      <w:proofErr w:type="gramEnd"/>
      <w:r w:rsidR="009518A1" w:rsidRPr="009518A1">
        <w:rPr>
          <w:color w:val="213042"/>
          <w:lang w:val="fr-CA"/>
        </w:rPr>
        <w:t xml:space="preserve"> Offre »)</w:t>
      </w:r>
      <w:r w:rsidR="00A635F3" w:rsidRPr="00A635F3">
        <w:rPr>
          <w:color w:val="213042"/>
          <w:lang w:val="fr-CA"/>
        </w:rPr>
        <w:t xml:space="preserve"> échéant le </w:t>
      </w:r>
      <w:r w:rsidR="000E15B0">
        <w:rPr>
          <w:color w:val="213042"/>
          <w:lang w:val="fr-CA"/>
        </w:rPr>
        <w:t>28 février</w:t>
      </w:r>
      <w:r w:rsidR="00333543" w:rsidRPr="00B97C9A">
        <w:rPr>
          <w:color w:val="213042"/>
          <w:lang w:val="fr-CA"/>
        </w:rPr>
        <w:t xml:space="preserve"> 2030</w:t>
      </w:r>
      <w:r w:rsidR="00A635F3">
        <w:rPr>
          <w:color w:val="FF0000"/>
          <w:lang w:val="fr-CA"/>
        </w:rPr>
        <w:t xml:space="preserve"> </w:t>
      </w:r>
      <w:r w:rsidR="00A635F3" w:rsidRPr="00A635F3">
        <w:rPr>
          <w:color w:val="213042"/>
          <w:lang w:val="fr-CA"/>
        </w:rPr>
        <w:t xml:space="preserve">(les « </w:t>
      </w:r>
      <w:r w:rsidR="00941456">
        <w:rPr>
          <w:b/>
          <w:bCs/>
          <w:color w:val="213042"/>
          <w:lang w:val="fr-CA"/>
        </w:rPr>
        <w:t>D</w:t>
      </w:r>
      <w:r w:rsidR="00A635F3" w:rsidRPr="00A635F3">
        <w:rPr>
          <w:b/>
          <w:bCs/>
          <w:color w:val="213042"/>
          <w:lang w:val="fr-CA"/>
        </w:rPr>
        <w:t>ébentures</w:t>
      </w:r>
      <w:r w:rsidR="00A635F3" w:rsidRPr="00A635F3">
        <w:rPr>
          <w:color w:val="213042"/>
          <w:lang w:val="fr-CA"/>
        </w:rPr>
        <w:t xml:space="preserve"> »), sur la base d'une prise ferme</w:t>
      </w:r>
      <w:r w:rsidR="00EE4968" w:rsidRPr="00A635F3">
        <w:rPr>
          <w:color w:val="213042"/>
          <w:lang w:val="fr-CA"/>
        </w:rPr>
        <w:t>.</w:t>
      </w:r>
      <w:r w:rsidR="00040A0D">
        <w:rPr>
          <w:color w:val="213042"/>
          <w:lang w:val="fr-CA"/>
        </w:rPr>
        <w:t xml:space="preserve"> Le Fonds a </w:t>
      </w:r>
      <w:r w:rsidR="004B256F">
        <w:rPr>
          <w:color w:val="213042"/>
          <w:lang w:val="fr-CA"/>
        </w:rPr>
        <w:t xml:space="preserve">aussi </w:t>
      </w:r>
      <w:r w:rsidR="00040A0D">
        <w:rPr>
          <w:color w:val="213042"/>
          <w:lang w:val="fr-CA"/>
        </w:rPr>
        <w:t>convenu d’octroyer aux Preneurs Fermes une option de surallocation l</w:t>
      </w:r>
      <w:r w:rsidR="00040A0D" w:rsidRPr="00040A0D">
        <w:rPr>
          <w:color w:val="213042"/>
          <w:lang w:val="fr-CA"/>
        </w:rPr>
        <w:t>eur permettant d'acquérir jusqu'à un</w:t>
      </w:r>
      <w:r w:rsidR="00EA6A83">
        <w:rPr>
          <w:color w:val="213042"/>
          <w:lang w:val="fr-CA"/>
        </w:rPr>
        <w:t xml:space="preserve"> capital global</w:t>
      </w:r>
      <w:r w:rsidR="00040A0D">
        <w:rPr>
          <w:color w:val="213042"/>
          <w:lang w:val="fr-CA"/>
        </w:rPr>
        <w:t xml:space="preserve"> </w:t>
      </w:r>
      <w:r w:rsidR="00040A0D" w:rsidRPr="00040A0D">
        <w:rPr>
          <w:color w:val="213042"/>
          <w:lang w:val="fr-CA"/>
        </w:rPr>
        <w:t xml:space="preserve">maximum de </w:t>
      </w:r>
      <w:r w:rsidR="000559B1">
        <w:rPr>
          <w:color w:val="213042"/>
          <w:lang w:val="fr-CA"/>
        </w:rPr>
        <w:t>5</w:t>
      </w:r>
      <w:r w:rsidR="009518A1">
        <w:rPr>
          <w:color w:val="213042"/>
          <w:lang w:val="fr-CA"/>
        </w:rPr>
        <w:t>,</w:t>
      </w:r>
      <w:r w:rsidR="000559B1">
        <w:rPr>
          <w:color w:val="213042"/>
          <w:lang w:val="fr-CA"/>
        </w:rPr>
        <w:t>2</w:t>
      </w:r>
      <w:r w:rsidR="009518A1">
        <w:rPr>
          <w:color w:val="213042"/>
          <w:lang w:val="fr-CA"/>
        </w:rPr>
        <w:t>5</w:t>
      </w:r>
      <w:r w:rsidR="00BF2270">
        <w:rPr>
          <w:color w:val="213042"/>
          <w:lang w:val="fr-CA"/>
        </w:rPr>
        <w:t xml:space="preserve"> </w:t>
      </w:r>
      <w:r w:rsidR="009518A1" w:rsidRPr="009518A1">
        <w:rPr>
          <w:color w:val="213042"/>
          <w:lang w:val="fr-CA"/>
        </w:rPr>
        <w:t>millions $ supplémentaires de Débentures</w:t>
      </w:r>
      <w:r w:rsidR="00EA6A83">
        <w:rPr>
          <w:color w:val="213042"/>
          <w:lang w:val="fr-CA"/>
        </w:rPr>
        <w:t xml:space="preserve"> au même prix</w:t>
      </w:r>
      <w:r w:rsidR="00040A0D" w:rsidRPr="00040A0D">
        <w:rPr>
          <w:color w:val="213042"/>
          <w:lang w:val="fr-CA"/>
        </w:rPr>
        <w:t>, pouvant être</w:t>
      </w:r>
      <w:r w:rsidR="00040A0D">
        <w:rPr>
          <w:color w:val="213042"/>
          <w:lang w:val="fr-CA"/>
        </w:rPr>
        <w:t xml:space="preserve"> </w:t>
      </w:r>
      <w:r w:rsidR="00040A0D" w:rsidRPr="00040A0D">
        <w:rPr>
          <w:color w:val="213042"/>
          <w:lang w:val="fr-CA"/>
        </w:rPr>
        <w:t xml:space="preserve">levé en tout ou en partie jusqu'à 30 jours après la clôture </w:t>
      </w:r>
      <w:r w:rsidR="00040A0D" w:rsidRPr="000559B1">
        <w:rPr>
          <w:color w:val="213042"/>
          <w:lang w:val="fr-CA"/>
        </w:rPr>
        <w:t>du placement.</w:t>
      </w:r>
      <w:r w:rsidR="000559B1" w:rsidRPr="000559B1">
        <w:rPr>
          <w:color w:val="213042"/>
          <w:lang w:val="fr-CA"/>
        </w:rPr>
        <w:t xml:space="preserve"> Pour tous les autres aspects, les </w:t>
      </w:r>
      <w:r w:rsidR="00F719B0">
        <w:rPr>
          <w:color w:val="213042"/>
          <w:lang w:val="fr-CA"/>
        </w:rPr>
        <w:t>termes</w:t>
      </w:r>
      <w:r w:rsidR="000559B1" w:rsidRPr="000559B1">
        <w:rPr>
          <w:color w:val="213042"/>
          <w:lang w:val="fr-CA"/>
        </w:rPr>
        <w:t xml:space="preserve"> de l’offre demeurent telles qu’elles ont été divulguées dans le communiqué de presse du 14 janvier 2025</w:t>
      </w:r>
      <w:r w:rsidR="00755065">
        <w:rPr>
          <w:color w:val="213042"/>
          <w:lang w:val="fr-CA"/>
        </w:rPr>
        <w:t xml:space="preserve"> déposé sur SEDAR+</w:t>
      </w:r>
      <w:r w:rsidR="000559B1" w:rsidRPr="000559B1">
        <w:rPr>
          <w:color w:val="213042"/>
          <w:lang w:val="fr-CA"/>
        </w:rPr>
        <w:t>.</w:t>
      </w:r>
    </w:p>
    <w:bookmarkEnd w:id="0"/>
    <w:p w14:paraId="352BD3AD" w14:textId="38C27352" w:rsidR="00D123B7" w:rsidRPr="0082462E" w:rsidRDefault="00777C47" w:rsidP="0082462E">
      <w:pPr>
        <w:spacing w:before="240"/>
        <w:rPr>
          <w:color w:val="FF0000"/>
          <w:lang w:val="fr-CA"/>
        </w:rPr>
      </w:pPr>
      <w:r w:rsidRPr="00223CA1">
        <w:rPr>
          <w:color w:val="213042"/>
          <w:lang w:val="fr-CA"/>
        </w:rPr>
        <w:t xml:space="preserve">Les </w:t>
      </w:r>
      <w:r w:rsidR="00941456" w:rsidRPr="00223CA1">
        <w:rPr>
          <w:color w:val="213042"/>
          <w:lang w:val="fr-CA"/>
        </w:rPr>
        <w:t>D</w:t>
      </w:r>
      <w:r w:rsidR="00EB471A" w:rsidRPr="00223CA1">
        <w:rPr>
          <w:color w:val="213042"/>
          <w:lang w:val="fr-CA"/>
        </w:rPr>
        <w:t>ébentures</w:t>
      </w:r>
      <w:r w:rsidRPr="00223CA1">
        <w:rPr>
          <w:color w:val="213042"/>
          <w:lang w:val="fr-CA"/>
        </w:rPr>
        <w:t xml:space="preserve"> seront offertes </w:t>
      </w:r>
      <w:r w:rsidR="009518A1" w:rsidRPr="00223CA1">
        <w:rPr>
          <w:color w:val="213042"/>
          <w:lang w:val="fr-CA"/>
        </w:rPr>
        <w:t xml:space="preserve">au Canada </w:t>
      </w:r>
      <w:r w:rsidRPr="00223CA1">
        <w:rPr>
          <w:color w:val="213042"/>
          <w:lang w:val="fr-CA"/>
        </w:rPr>
        <w:t xml:space="preserve">par supplément de prospectus au prospectus préalable de base simplifié de BTB daté du 9 juin 2023, lequel supplément de prospectus devrait être déposé auprès des commissions en valeurs mobilières et autres organismes de réglementation de chacune des provinces et territoires du Canada le ou vers le </w:t>
      </w:r>
      <w:r w:rsidR="003B2C59" w:rsidRPr="003B2C59">
        <w:rPr>
          <w:color w:val="213042"/>
          <w:lang w:val="fr-CA"/>
        </w:rPr>
        <w:t>1</w:t>
      </w:r>
      <w:r w:rsidR="001F7A49">
        <w:rPr>
          <w:color w:val="213042"/>
          <w:lang w:val="fr-CA"/>
        </w:rPr>
        <w:t>6</w:t>
      </w:r>
      <w:r w:rsidR="0082462E" w:rsidRPr="003B2C59">
        <w:rPr>
          <w:color w:val="213042"/>
          <w:lang w:val="fr-CA"/>
        </w:rPr>
        <w:t xml:space="preserve"> </w:t>
      </w:r>
      <w:r w:rsidR="0082462E" w:rsidRPr="00223CA1">
        <w:rPr>
          <w:color w:val="213042"/>
          <w:lang w:val="fr-CA"/>
        </w:rPr>
        <w:t>janvier 2025</w:t>
      </w:r>
      <w:r w:rsidR="00B21CAD" w:rsidRPr="00223CA1">
        <w:rPr>
          <w:color w:val="213042"/>
          <w:lang w:val="fr-CA"/>
        </w:rPr>
        <w:t xml:space="preserve">, et par le biais d'un placement privé aux États-Unis auprès d’ « acheteurs institutionnels qualifiés » en vertu de la règle 144A du U.S. Securities </w:t>
      </w:r>
      <w:proofErr w:type="spellStart"/>
      <w:r w:rsidR="00B21CAD" w:rsidRPr="00223CA1">
        <w:rPr>
          <w:color w:val="213042"/>
          <w:lang w:val="fr-CA"/>
        </w:rPr>
        <w:t>Act</w:t>
      </w:r>
      <w:proofErr w:type="spellEnd"/>
      <w:r w:rsidR="00B21CAD" w:rsidRPr="00223CA1">
        <w:rPr>
          <w:color w:val="213042"/>
          <w:lang w:val="fr-CA"/>
        </w:rPr>
        <w:t xml:space="preserve"> de 1933</w:t>
      </w:r>
      <w:r w:rsidRPr="00223CA1">
        <w:rPr>
          <w:color w:val="213042"/>
          <w:lang w:val="fr-CA"/>
        </w:rPr>
        <w:t>. La clôture d</w:t>
      </w:r>
      <w:r w:rsidR="00B21CAD" w:rsidRPr="00223CA1">
        <w:rPr>
          <w:color w:val="213042"/>
          <w:lang w:val="fr-CA"/>
        </w:rPr>
        <w:t>e</w:t>
      </w:r>
      <w:r w:rsidRPr="00223CA1">
        <w:rPr>
          <w:color w:val="213042"/>
          <w:lang w:val="fr-CA"/>
        </w:rPr>
        <w:t xml:space="preserve"> </w:t>
      </w:r>
      <w:r w:rsidR="00B21CAD" w:rsidRPr="00223CA1">
        <w:rPr>
          <w:color w:val="213042"/>
          <w:lang w:val="fr-CA"/>
        </w:rPr>
        <w:t>l’Offre</w:t>
      </w:r>
      <w:r w:rsidRPr="00223CA1">
        <w:rPr>
          <w:color w:val="213042"/>
          <w:lang w:val="fr-CA"/>
        </w:rPr>
        <w:t xml:space="preserve"> est prévue le ou vers le </w:t>
      </w:r>
      <w:r w:rsidR="003B2C59" w:rsidRPr="003B2C59">
        <w:rPr>
          <w:color w:val="213042"/>
          <w:lang w:val="fr-CA"/>
        </w:rPr>
        <w:t>2</w:t>
      </w:r>
      <w:r w:rsidR="001F7A49">
        <w:rPr>
          <w:color w:val="213042"/>
          <w:lang w:val="fr-CA"/>
        </w:rPr>
        <w:t>3</w:t>
      </w:r>
      <w:r w:rsidR="0082462E" w:rsidRPr="003B2C59">
        <w:rPr>
          <w:color w:val="213042"/>
          <w:lang w:val="fr-CA"/>
        </w:rPr>
        <w:t xml:space="preserve"> </w:t>
      </w:r>
      <w:r w:rsidR="003B2C59" w:rsidRPr="003B2C59">
        <w:rPr>
          <w:color w:val="213042"/>
          <w:lang w:val="fr-CA"/>
        </w:rPr>
        <w:t xml:space="preserve">janvier 2025 </w:t>
      </w:r>
      <w:r w:rsidR="0082462E" w:rsidRPr="00223CA1">
        <w:rPr>
          <w:color w:val="213042"/>
          <w:lang w:val="fr-CA"/>
        </w:rPr>
        <w:t>et est assujettie à certaines conditions, notamment, sans que cette énumération soit limitative, à l’obtention de toutes les approbations requises, y compris celle de la Bourse de Toronto (« TSX »).</w:t>
      </w:r>
    </w:p>
    <w:p w14:paraId="03DC35DE" w14:textId="037C9889" w:rsidR="004B256F" w:rsidRPr="004B256F" w:rsidRDefault="004B256F" w:rsidP="00267C98">
      <w:pPr>
        <w:spacing w:before="240"/>
        <w:rPr>
          <w:color w:val="213042"/>
          <w:vertAlign w:val="superscript"/>
          <w:lang w:val="fr-CA"/>
        </w:rPr>
      </w:pPr>
      <w:r w:rsidRPr="004B256F">
        <w:rPr>
          <w:color w:val="213042"/>
          <w:lang w:val="fr-CA"/>
        </w:rPr>
        <w:t xml:space="preserve">Le supplément de prospectus préalable, le prospectus de base correspondant et leur modification est fourni conformément aux dispositions de la législation en valeurs mobilières relatives aux procédures d’accessibilisation de ces documents. Le supplément </w:t>
      </w:r>
      <w:r w:rsidRPr="004B256F">
        <w:rPr>
          <w:color w:val="213042"/>
          <w:lang w:val="fr-CA"/>
        </w:rPr>
        <w:lastRenderedPageBreak/>
        <w:t>de prospectus préalable, le prospectus de base correspondant et leur modification sont accessibles au moyen de SEDAR+ ou serons accessibles au moyen de SEDAR+ dans un délai de deux jours ouvrables, selon le cas</w:t>
      </w:r>
      <w:r w:rsidR="00B37CD5">
        <w:rPr>
          <w:color w:val="213042"/>
          <w:lang w:val="fr-CA"/>
        </w:rPr>
        <w:t xml:space="preserve">, au </w:t>
      </w:r>
      <w:hyperlink r:id="rId12" w:history="1">
        <w:r w:rsidR="00B37CD5" w:rsidRPr="00D9147D">
          <w:rPr>
            <w:rStyle w:val="Hyperlink"/>
            <w:lang w:val="fr-CA"/>
          </w:rPr>
          <w:t>www.sedarplus.com</w:t>
        </w:r>
      </w:hyperlink>
      <w:r w:rsidR="00B37CD5">
        <w:rPr>
          <w:color w:val="213042"/>
          <w:lang w:val="fr-CA"/>
        </w:rPr>
        <w:t>.</w:t>
      </w:r>
      <w:r w:rsidRPr="004B256F">
        <w:rPr>
          <w:color w:val="213042"/>
          <w:lang w:val="fr-CA"/>
        </w:rPr>
        <w:t xml:space="preserve"> On peut obtenir gratuitement un exemplaire électronique ou imprimé du supplément de prospectus préalable, du prospectus préalable de base correspondant et de leur modification auprès de </w:t>
      </w:r>
      <w:r w:rsidR="000048A2">
        <w:rPr>
          <w:color w:val="213042"/>
          <w:lang w:val="fr-CA"/>
        </w:rPr>
        <w:t xml:space="preserve">la </w:t>
      </w:r>
      <w:r w:rsidR="000048A2" w:rsidRPr="000048A2">
        <w:rPr>
          <w:color w:val="213042"/>
          <w:lang w:val="fr-CA"/>
        </w:rPr>
        <w:t xml:space="preserve">Financière Banque Nationale </w:t>
      </w:r>
      <w:r w:rsidR="000048A2">
        <w:rPr>
          <w:color w:val="213042"/>
          <w:lang w:val="fr-CA"/>
        </w:rPr>
        <w:t>Inc. par téléphone au (</w:t>
      </w:r>
      <w:proofErr w:type="gramStart"/>
      <w:r w:rsidR="000048A2">
        <w:rPr>
          <w:color w:val="213042"/>
          <w:lang w:val="fr-CA"/>
        </w:rPr>
        <w:t>416)-</w:t>
      </w:r>
      <w:proofErr w:type="gramEnd"/>
      <w:r w:rsidR="000048A2">
        <w:rPr>
          <w:color w:val="213042"/>
          <w:lang w:val="fr-CA"/>
        </w:rPr>
        <w:t xml:space="preserve">869-6534 ou par courriel au NBF-Syndication@bnc.ca </w:t>
      </w:r>
      <w:r w:rsidRPr="004B256F">
        <w:rPr>
          <w:color w:val="213042"/>
          <w:lang w:val="fr-CA"/>
        </w:rPr>
        <w:t>en fournissant une adresse électronique ou postale, selon le cas.</w:t>
      </w:r>
    </w:p>
    <w:p w14:paraId="6F0401A3" w14:textId="141D1ACC" w:rsidR="001F7A49" w:rsidRDefault="00777C47" w:rsidP="00D905CE">
      <w:pPr>
        <w:pStyle w:val="Heading2"/>
        <w:spacing w:before="240"/>
        <w:rPr>
          <w:b w:val="0"/>
          <w:color w:val="213042"/>
          <w:sz w:val="22"/>
          <w:szCs w:val="22"/>
          <w:lang w:val="fr-CA"/>
        </w:rPr>
      </w:pPr>
      <w:r w:rsidRPr="00223CA1">
        <w:rPr>
          <w:b w:val="0"/>
          <w:color w:val="213042"/>
          <w:sz w:val="22"/>
          <w:szCs w:val="22"/>
          <w:lang w:val="fr-CA"/>
        </w:rPr>
        <w:t xml:space="preserve">Le présent communiqué de presse </w:t>
      </w:r>
      <w:r w:rsidR="0082462E" w:rsidRPr="00223CA1">
        <w:rPr>
          <w:b w:val="0"/>
          <w:color w:val="213042"/>
          <w:sz w:val="22"/>
          <w:szCs w:val="22"/>
          <w:lang w:val="fr-CA"/>
        </w:rPr>
        <w:t xml:space="preserve">est </w:t>
      </w:r>
      <w:r w:rsidR="00ED2EA1" w:rsidRPr="00223CA1">
        <w:rPr>
          <w:b w:val="0"/>
          <w:color w:val="213042"/>
          <w:sz w:val="22"/>
          <w:szCs w:val="22"/>
          <w:lang w:val="fr-CA"/>
        </w:rPr>
        <w:t xml:space="preserve">uniquement </w:t>
      </w:r>
      <w:r w:rsidR="0082462E" w:rsidRPr="00223CA1">
        <w:rPr>
          <w:b w:val="0"/>
          <w:color w:val="213042"/>
          <w:sz w:val="22"/>
          <w:szCs w:val="22"/>
          <w:lang w:val="fr-CA"/>
        </w:rPr>
        <w:t xml:space="preserve">fourni à titre informatif et </w:t>
      </w:r>
      <w:r w:rsidRPr="00223CA1">
        <w:rPr>
          <w:b w:val="0"/>
          <w:color w:val="213042"/>
          <w:sz w:val="22"/>
          <w:szCs w:val="22"/>
          <w:lang w:val="fr-CA"/>
        </w:rPr>
        <w:t xml:space="preserve">ne constitue pas une offre de vente ni une sollicitation d'une offre d'achat des titres </w:t>
      </w:r>
      <w:r w:rsidR="00B21CAD" w:rsidRPr="00223CA1">
        <w:rPr>
          <w:b w:val="0"/>
          <w:color w:val="213042"/>
          <w:sz w:val="22"/>
          <w:szCs w:val="22"/>
          <w:lang w:val="fr-CA"/>
        </w:rPr>
        <w:t>dans quelque juridiction que ce soit où une telle offre, sollicitation ou vente serait illégale</w:t>
      </w:r>
      <w:r w:rsidRPr="00223CA1">
        <w:rPr>
          <w:b w:val="0"/>
          <w:color w:val="213042"/>
          <w:sz w:val="22"/>
          <w:szCs w:val="22"/>
          <w:lang w:val="fr-CA"/>
        </w:rPr>
        <w:t>. Le présent communiqué de presse ne constitue pas une offre de titres à vendre aux États-Unis et les titres auxquels il fait référence ne peuvent être offerts ou vendus aux États-Unis sans enregistrement ou exemption d'un tel enregistrement</w:t>
      </w:r>
      <w:r w:rsidR="00D123B7" w:rsidRPr="00223CA1">
        <w:rPr>
          <w:b w:val="0"/>
          <w:color w:val="213042"/>
          <w:sz w:val="22"/>
          <w:szCs w:val="22"/>
          <w:lang w:val="fr-CA"/>
        </w:rPr>
        <w:t>.</w:t>
      </w:r>
      <w:r w:rsidR="0082462E" w:rsidRPr="00223CA1">
        <w:rPr>
          <w:b w:val="0"/>
          <w:color w:val="213042"/>
          <w:sz w:val="22"/>
          <w:szCs w:val="22"/>
          <w:lang w:val="fr-CA"/>
        </w:rPr>
        <w:t xml:space="preserve"> Aucune autorité en </w:t>
      </w:r>
      <w:r w:rsidR="00610DB3">
        <w:rPr>
          <w:b w:val="0"/>
          <w:color w:val="213042"/>
          <w:sz w:val="22"/>
          <w:szCs w:val="22"/>
          <w:lang w:val="fr-CA"/>
        </w:rPr>
        <w:t>valeurs mobilières</w:t>
      </w:r>
      <w:r w:rsidR="0082462E" w:rsidRPr="00223CA1">
        <w:rPr>
          <w:b w:val="0"/>
          <w:color w:val="213042"/>
          <w:sz w:val="22"/>
          <w:szCs w:val="22"/>
          <w:lang w:val="fr-CA"/>
        </w:rPr>
        <w:t xml:space="preserve"> n'a approuvé ni désapprouvé le contenu de ce communiqué de presse.</w:t>
      </w:r>
    </w:p>
    <w:p w14:paraId="13080876" w14:textId="77777777" w:rsidR="00D905CE" w:rsidRPr="00D905CE" w:rsidRDefault="00D905CE" w:rsidP="00D905CE">
      <w:pPr>
        <w:rPr>
          <w:lang w:val="fr-CA"/>
        </w:rPr>
      </w:pPr>
    </w:p>
    <w:p w14:paraId="789CD216" w14:textId="28C81FE8" w:rsidR="00267C98" w:rsidRPr="00D123B7" w:rsidRDefault="006D01AC" w:rsidP="00D123B7">
      <w:pPr>
        <w:pStyle w:val="Heading2"/>
        <w:spacing w:before="240"/>
        <w:rPr>
          <w:lang w:val="fr-CA"/>
        </w:rPr>
      </w:pPr>
      <w:r>
        <w:rPr>
          <w:lang w:val="fr-CA"/>
        </w:rPr>
        <w:t>À propos de BTB</w:t>
      </w:r>
    </w:p>
    <w:p w14:paraId="33348C28" w14:textId="3C23CBCA" w:rsidR="00267C98" w:rsidRPr="00D123B7" w:rsidRDefault="00D123B7" w:rsidP="00267C98">
      <w:pPr>
        <w:spacing w:before="120"/>
        <w:rPr>
          <w:color w:val="213042"/>
          <w:lang w:val="fr-CA"/>
        </w:rPr>
      </w:pPr>
      <w:r w:rsidRPr="00D123B7">
        <w:rPr>
          <w:color w:val="213042"/>
          <w:lang w:val="fr-CA"/>
        </w:rPr>
        <w:t>BTB est une fiducie de placement immobilier coté</w:t>
      </w:r>
      <w:r w:rsidRPr="003F4356">
        <w:rPr>
          <w:color w:val="213042"/>
          <w:lang w:val="fr-CA"/>
        </w:rPr>
        <w:t xml:space="preserve">e à la </w:t>
      </w:r>
      <w:r w:rsidR="003F4356" w:rsidRPr="003F4356">
        <w:rPr>
          <w:color w:val="213042"/>
          <w:lang w:val="fr-CA"/>
        </w:rPr>
        <w:t>TSX</w:t>
      </w:r>
      <w:r w:rsidRPr="003F4356">
        <w:rPr>
          <w:color w:val="213042"/>
          <w:lang w:val="fr-CA"/>
        </w:rPr>
        <w:t>. BTB</w:t>
      </w:r>
      <w:r w:rsidRPr="00D123B7">
        <w:rPr>
          <w:color w:val="213042"/>
          <w:lang w:val="fr-CA"/>
        </w:rPr>
        <w:t xml:space="preserve"> investit dans des propriétés industrielles, des bureaux de banlieue et des propriétés commerciales de première nécessité partout au Canada au profit de ses investisseurs. À ce jour, BTB possède et gère </w:t>
      </w:r>
      <w:r w:rsidRPr="006D01AC">
        <w:rPr>
          <w:b/>
          <w:bCs/>
          <w:color w:val="213042"/>
          <w:lang w:val="fr-CA"/>
        </w:rPr>
        <w:t>75 propriétés</w:t>
      </w:r>
      <w:r w:rsidRPr="00D123B7">
        <w:rPr>
          <w:color w:val="213042"/>
          <w:lang w:val="fr-CA"/>
        </w:rPr>
        <w:t xml:space="preserve">, représentant une superficie locative totale d'environ </w:t>
      </w:r>
      <w:r w:rsidRPr="006D01AC">
        <w:rPr>
          <w:b/>
          <w:bCs/>
          <w:color w:val="213042"/>
          <w:lang w:val="fr-CA"/>
        </w:rPr>
        <w:t xml:space="preserve">6,1 millions </w:t>
      </w:r>
      <w:r w:rsidRPr="006D01AC">
        <w:rPr>
          <w:color w:val="213042"/>
          <w:lang w:val="fr-CA"/>
        </w:rPr>
        <w:t>de pieds carrés</w:t>
      </w:r>
      <w:r w:rsidR="008C73C4" w:rsidRPr="00D123B7">
        <w:rPr>
          <w:color w:val="213042"/>
          <w:lang w:val="fr-CA"/>
        </w:rPr>
        <w:t>.</w:t>
      </w:r>
    </w:p>
    <w:p w14:paraId="2D76D6A8" w14:textId="68CBD2D4" w:rsidR="00267C98" w:rsidRPr="00D123B7" w:rsidRDefault="00D123B7" w:rsidP="00267C98">
      <w:pPr>
        <w:rPr>
          <w:color w:val="213042"/>
          <w:lang w:val="fr-CA"/>
        </w:rPr>
      </w:pPr>
      <w:r w:rsidRPr="00D123B7">
        <w:rPr>
          <w:color w:val="213042"/>
          <w:lang w:val="fr-CA"/>
        </w:rPr>
        <w:t>Pour de</w:t>
      </w:r>
      <w:r>
        <w:rPr>
          <w:color w:val="213042"/>
          <w:lang w:val="fr-CA"/>
        </w:rPr>
        <w:t xml:space="preserve"> l’information plus détaillée</w:t>
      </w:r>
      <w:r w:rsidR="00267C98" w:rsidRPr="00D123B7">
        <w:rPr>
          <w:color w:val="213042"/>
          <w:lang w:val="fr-CA"/>
        </w:rPr>
        <w:t>, visit</w:t>
      </w:r>
      <w:r>
        <w:rPr>
          <w:color w:val="213042"/>
          <w:lang w:val="fr-CA"/>
        </w:rPr>
        <w:t xml:space="preserve">ez le site internet du Fonds au </w:t>
      </w:r>
      <w:hyperlink r:id="rId13" w:history="1">
        <w:r w:rsidR="00267C98" w:rsidRPr="00D123B7">
          <w:rPr>
            <w:rStyle w:val="Hyperlink"/>
            <w:lang w:val="fr-CA"/>
          </w:rPr>
          <w:t>www.btbreit.com</w:t>
        </w:r>
      </w:hyperlink>
      <w:r w:rsidR="00267C98" w:rsidRPr="00D123B7">
        <w:rPr>
          <w:color w:val="213042"/>
          <w:lang w:val="fr-CA"/>
        </w:rPr>
        <w:t>.</w:t>
      </w:r>
    </w:p>
    <w:p w14:paraId="1C270B19" w14:textId="7D82124D" w:rsidR="00267C98" w:rsidRPr="00D123B7" w:rsidRDefault="00D123B7" w:rsidP="00267C98">
      <w:pPr>
        <w:pStyle w:val="Heading2"/>
        <w:rPr>
          <w:lang w:val="fr-CA"/>
        </w:rPr>
      </w:pPr>
      <w:r w:rsidRPr="00D123B7">
        <w:rPr>
          <w:lang w:val="fr-CA"/>
        </w:rPr>
        <w:t>Pour</w:t>
      </w:r>
      <w:r>
        <w:rPr>
          <w:lang w:val="fr-CA"/>
        </w:rPr>
        <w:t xml:space="preserve"> de plus amples informations</w:t>
      </w:r>
    </w:p>
    <w:p w14:paraId="20E17E26" w14:textId="4BF5626D" w:rsidR="00267C98" w:rsidRPr="00D123B7" w:rsidRDefault="00E3090E" w:rsidP="00267C98">
      <w:pPr>
        <w:pStyle w:val="NormalWeb"/>
        <w:spacing w:before="120" w:beforeAutospacing="0" w:after="120" w:afterAutospacing="0"/>
        <w:rPr>
          <w:rFonts w:ascii="Arial" w:eastAsia="Arial" w:hAnsi="Arial" w:cs="Arial"/>
          <w:color w:val="213042"/>
          <w:sz w:val="22"/>
          <w:szCs w:val="22"/>
        </w:rPr>
      </w:pPr>
      <w:r>
        <w:rPr>
          <w:rFonts w:ascii="Arial" w:eastAsia="Arial" w:hAnsi="Arial" w:cs="Arial"/>
          <w:b/>
          <w:bCs/>
          <w:color w:val="647582"/>
          <w:sz w:val="22"/>
          <w:szCs w:val="22"/>
        </w:rPr>
        <w:t>Marc-André Lefebvre</w:t>
      </w:r>
      <w:r w:rsidR="00267C98" w:rsidRPr="00F22F03">
        <w:rPr>
          <w:rFonts w:ascii="Arial" w:eastAsia="Arial" w:hAnsi="Arial" w:cs="Arial"/>
          <w:color w:val="213042"/>
          <w:sz w:val="22"/>
          <w:szCs w:val="22"/>
        </w:rPr>
        <w:t xml:space="preserve">, </w:t>
      </w:r>
      <w:r w:rsidRPr="00F22F03">
        <w:rPr>
          <w:rFonts w:ascii="Arial" w:eastAsia="Arial" w:hAnsi="Arial" w:cs="Arial"/>
          <w:color w:val="213042"/>
          <w:sz w:val="22"/>
          <w:szCs w:val="22"/>
        </w:rPr>
        <w:t>Vice-président et Chef de la direction financière</w:t>
      </w:r>
    </w:p>
    <w:p w14:paraId="05B136E6" w14:textId="05123167" w:rsidR="00267C98" w:rsidRDefault="00267C98" w:rsidP="00267C98">
      <w:pPr>
        <w:pStyle w:val="NormalWeb"/>
        <w:spacing w:before="0" w:beforeAutospacing="0" w:after="0" w:afterAutospacing="0"/>
        <w:rPr>
          <w:rFonts w:ascii="Arial" w:eastAsia="Arial" w:hAnsi="Arial" w:cs="Arial"/>
          <w:color w:val="213042"/>
          <w:sz w:val="22"/>
          <w:szCs w:val="22"/>
        </w:rPr>
      </w:pPr>
      <w:bookmarkStart w:id="1" w:name="_Hlk187321470"/>
      <w:r w:rsidRPr="00B92BBF">
        <w:rPr>
          <w:rFonts w:ascii="Arial" w:eastAsia="Arial" w:hAnsi="Arial" w:cs="Arial"/>
          <w:color w:val="213042"/>
          <w:sz w:val="22"/>
          <w:szCs w:val="22"/>
        </w:rPr>
        <w:t>(T) 514-286-0188 x2</w:t>
      </w:r>
      <w:r w:rsidR="00E3090E">
        <w:rPr>
          <w:rFonts w:ascii="Arial" w:eastAsia="Arial" w:hAnsi="Arial" w:cs="Arial"/>
          <w:color w:val="213042"/>
          <w:sz w:val="22"/>
          <w:szCs w:val="22"/>
        </w:rPr>
        <w:t>44</w:t>
      </w:r>
      <w:r w:rsidRPr="00B92BBF">
        <w:rPr>
          <w:rFonts w:ascii="Arial" w:eastAsia="Arial" w:hAnsi="Arial" w:cs="Arial"/>
          <w:color w:val="213042"/>
          <w:sz w:val="22"/>
          <w:szCs w:val="22"/>
        </w:rPr>
        <w:t xml:space="preserve"> </w:t>
      </w:r>
      <w:bookmarkEnd w:id="1"/>
    </w:p>
    <w:p w14:paraId="7A93C6C8" w14:textId="77777777" w:rsidR="00267C98" w:rsidRDefault="00267C98" w:rsidP="00267C98">
      <w:pPr>
        <w:pStyle w:val="NormalWeb"/>
        <w:spacing w:before="60" w:beforeAutospacing="0"/>
        <w:rPr>
          <w:rFonts w:ascii="Arial" w:eastAsia="Arial" w:hAnsi="Arial" w:cs="Arial"/>
          <w:sz w:val="22"/>
          <w:szCs w:val="22"/>
          <w:lang w:eastAsia="en-US"/>
        </w:rPr>
      </w:pPr>
      <w:r w:rsidRPr="00B92BBF">
        <w:rPr>
          <w:rFonts w:ascii="Arial" w:eastAsia="Arial" w:hAnsi="Arial" w:cs="Arial"/>
          <w:color w:val="213042"/>
          <w:sz w:val="22"/>
          <w:szCs w:val="22"/>
          <w:lang w:eastAsia="en-US"/>
        </w:rPr>
        <w:t>(</w:t>
      </w:r>
      <w:r w:rsidR="00D123B7">
        <w:rPr>
          <w:rFonts w:ascii="Arial" w:eastAsia="Arial" w:hAnsi="Arial" w:cs="Arial"/>
          <w:color w:val="213042"/>
          <w:sz w:val="22"/>
          <w:szCs w:val="22"/>
          <w:lang w:eastAsia="en-US"/>
        </w:rPr>
        <w:t>C</w:t>
      </w:r>
      <w:r w:rsidRPr="00B92BBF">
        <w:rPr>
          <w:rFonts w:ascii="Arial" w:eastAsia="Arial" w:hAnsi="Arial" w:cs="Arial"/>
          <w:color w:val="213042"/>
          <w:sz w:val="22"/>
          <w:szCs w:val="22"/>
          <w:lang w:eastAsia="en-US"/>
        </w:rPr>
        <w:t xml:space="preserve">) </w:t>
      </w:r>
      <w:bookmarkStart w:id="2" w:name="_Hlk187321493"/>
      <w:r w:rsidR="00E3090E">
        <w:rPr>
          <w:rFonts w:ascii="Arial" w:eastAsia="Arial" w:hAnsi="Arial" w:cs="Arial"/>
          <w:sz w:val="22"/>
          <w:szCs w:val="22"/>
          <w:lang w:eastAsia="en-US"/>
        </w:rPr>
        <w:fldChar w:fldCharType="begin"/>
      </w:r>
      <w:r w:rsidR="00E3090E">
        <w:rPr>
          <w:rFonts w:ascii="Arial" w:eastAsia="Arial" w:hAnsi="Arial" w:cs="Arial"/>
          <w:sz w:val="22"/>
          <w:szCs w:val="22"/>
          <w:lang w:eastAsia="en-US"/>
        </w:rPr>
        <w:instrText>HYPERLINK "mailto:</w:instrText>
      </w:r>
      <w:r w:rsidR="00E3090E" w:rsidRPr="00E3090E">
        <w:rPr>
          <w:rFonts w:ascii="Arial" w:eastAsia="Arial" w:hAnsi="Arial" w:cs="Arial"/>
          <w:sz w:val="22"/>
          <w:szCs w:val="22"/>
          <w:lang w:eastAsia="en-US"/>
        </w:rPr>
        <w:instrText>malefebvre@btbreit.com</w:instrText>
      </w:r>
      <w:r w:rsidR="00E3090E">
        <w:rPr>
          <w:rFonts w:ascii="Arial" w:eastAsia="Arial" w:hAnsi="Arial" w:cs="Arial"/>
          <w:sz w:val="22"/>
          <w:szCs w:val="22"/>
          <w:lang w:eastAsia="en-US"/>
        </w:rPr>
        <w:instrText>"</w:instrText>
      </w:r>
      <w:r w:rsidR="00E3090E">
        <w:rPr>
          <w:rFonts w:ascii="Arial" w:eastAsia="Arial" w:hAnsi="Arial" w:cs="Arial"/>
          <w:sz w:val="22"/>
          <w:szCs w:val="22"/>
          <w:lang w:eastAsia="en-US"/>
        </w:rPr>
      </w:r>
      <w:r w:rsidR="00E3090E">
        <w:rPr>
          <w:rFonts w:ascii="Arial" w:eastAsia="Arial" w:hAnsi="Arial" w:cs="Arial"/>
          <w:sz w:val="22"/>
          <w:szCs w:val="22"/>
          <w:lang w:eastAsia="en-US"/>
        </w:rPr>
        <w:fldChar w:fldCharType="separate"/>
      </w:r>
      <w:r w:rsidR="00E3090E" w:rsidRPr="00FA1715">
        <w:rPr>
          <w:rStyle w:val="Hyperlink"/>
          <w:rFonts w:ascii="Arial" w:eastAsia="Arial" w:hAnsi="Arial" w:cs="Arial"/>
          <w:sz w:val="22"/>
          <w:szCs w:val="22"/>
          <w:lang w:eastAsia="en-US"/>
        </w:rPr>
        <w:t>malefebvre@btbreit.com</w:t>
      </w:r>
      <w:r w:rsidR="00E3090E">
        <w:rPr>
          <w:rFonts w:ascii="Arial" w:eastAsia="Arial" w:hAnsi="Arial" w:cs="Arial"/>
          <w:sz w:val="22"/>
          <w:szCs w:val="22"/>
          <w:lang w:eastAsia="en-US"/>
        </w:rPr>
        <w:fldChar w:fldCharType="end"/>
      </w:r>
      <w:bookmarkEnd w:id="2"/>
    </w:p>
    <w:p w14:paraId="123DCD76" w14:textId="141E5466" w:rsidR="00267C98" w:rsidRPr="00DF0BC0" w:rsidRDefault="006D01AC" w:rsidP="00267C98">
      <w:pPr>
        <w:pStyle w:val="Heading2"/>
        <w:rPr>
          <w:lang w:val="fr-CA"/>
        </w:rPr>
      </w:pPr>
      <w:r w:rsidRPr="00DF0BC0">
        <w:rPr>
          <w:lang w:val="fr-CA"/>
        </w:rPr>
        <w:t xml:space="preserve">Énoncés </w:t>
      </w:r>
      <w:r w:rsidR="006A4D6B">
        <w:rPr>
          <w:lang w:val="fr-CA"/>
        </w:rPr>
        <w:t>p</w:t>
      </w:r>
      <w:r w:rsidRPr="00DF0BC0">
        <w:rPr>
          <w:lang w:val="fr-CA"/>
        </w:rPr>
        <w:t>rospectifs</w:t>
      </w:r>
    </w:p>
    <w:p w14:paraId="67FFE36F" w14:textId="5DCF4207" w:rsidR="00267C98" w:rsidRDefault="004B256F" w:rsidP="00267C98">
      <w:pPr>
        <w:pStyle w:val="NormalWeb"/>
        <w:spacing w:before="120" w:beforeAutospacing="0" w:line="276" w:lineRule="auto"/>
        <w:rPr>
          <w:rFonts w:ascii="Arial" w:eastAsia="Arial" w:hAnsi="Arial" w:cs="Arial"/>
          <w:color w:val="213042"/>
          <w:sz w:val="22"/>
          <w:szCs w:val="22"/>
        </w:rPr>
      </w:pPr>
      <w:r w:rsidRPr="004B256F">
        <w:rPr>
          <w:rFonts w:ascii="Arial" w:eastAsia="Arial" w:hAnsi="Arial" w:cs="Arial"/>
          <w:color w:val="213042"/>
          <w:sz w:val="22"/>
          <w:szCs w:val="22"/>
        </w:rPr>
        <w:t xml:space="preserve">Le présent communiqué renferme des énoncés prospectifs au sens de la législation en valeurs mobilières applicable. Les énoncés prospectifs sont fondés sur un certain nombre d’hypothèses et comportent des risques et des incertitudes, dont plusieurs sont indépendants de la volonté de BTB et peuvent faire en sorte que les résultats et les événements réels diffèrent considérablement de ceux qui sont indiqués, explicitement ou implicitement, dans les énoncés prospectifs. Les énoncés prospectifs contenus dans le </w:t>
      </w:r>
      <w:r w:rsidRPr="004B256F">
        <w:rPr>
          <w:rFonts w:ascii="Arial" w:eastAsia="Arial" w:hAnsi="Arial" w:cs="Arial"/>
          <w:color w:val="213042"/>
          <w:sz w:val="22"/>
          <w:szCs w:val="22"/>
        </w:rPr>
        <w:lastRenderedPageBreak/>
        <w:t>présent communiqué portent notamment sur la clôture du financement et l’utilisation prévue du produit net tiré du placement. Les énoncés prospectifs figurant dans le présent communiqué doivent être lus à la lumière de la présente mise en garde. Tous les énoncés prospectifs figurant dans le présent communiqué sont en date du présent communiqué. BTB ne s’engage pas à mettre à jour l’information prospective par suite de nouveaux renseignements, d’événements futurs ou pour quelque autre raison que ce soit, sauf si la loi l’exige.</w:t>
      </w:r>
    </w:p>
    <w:p w14:paraId="513F0FA3" w14:textId="39251748" w:rsidR="00ED2EA1" w:rsidRDefault="004B256F" w:rsidP="00267C98">
      <w:pPr>
        <w:pStyle w:val="NormalWeb"/>
        <w:spacing w:before="120" w:beforeAutospacing="0" w:line="276" w:lineRule="auto"/>
        <w:rPr>
          <w:rFonts w:ascii="Arial" w:eastAsia="Arial" w:hAnsi="Arial" w:cs="Arial"/>
          <w:color w:val="213042"/>
          <w:sz w:val="22"/>
          <w:szCs w:val="22"/>
        </w:rPr>
      </w:pPr>
      <w:r w:rsidRPr="004B256F">
        <w:rPr>
          <w:rFonts w:ascii="Arial" w:eastAsia="Arial" w:hAnsi="Arial" w:cs="Arial"/>
          <w:color w:val="213042"/>
          <w:sz w:val="22"/>
          <w:szCs w:val="22"/>
        </w:rPr>
        <w:t xml:space="preserve">Les énoncés prospectifs sont nécessairement fondés sur un certain nombre d’estimations et d’hypothèses qui, même si elles sont considérées comme raisonnables par la direction à la date des présentes, sont, par leur nature, assujetties à des incertitudes et des éventualités importantes sur les plans commercial, économique et concurrentiel. BTB recommande aux lecteurs de ne pas se fier indument aux énoncés prospectifs pour prendre des décisions, car les énoncés prospectifs comportent des incertitudes et des risques importants et ne doivent pas être considérés comme des garanties de rendements ou de résultats futurs. De plus, les énoncés prospectifs ne fournissent pas nécessairement d’indications exactes quant au moment où de tels rendements ou de tels résultats seront atteints ou quant à la possibilité qu’ils soient atteints. Un certain nombre de facteurs peuvent faire en sorte que les résultats réels diffèrent, éventuellement de façon importante, des résultats indiqués dans les énoncés prospectifs. </w:t>
      </w:r>
    </w:p>
    <w:p w14:paraId="6A61AE85" w14:textId="5491E430" w:rsidR="004B256F" w:rsidRDefault="004B256F" w:rsidP="00267C98">
      <w:pPr>
        <w:pStyle w:val="NormalWeb"/>
        <w:spacing w:before="120" w:beforeAutospacing="0" w:line="276" w:lineRule="auto"/>
        <w:rPr>
          <w:rFonts w:ascii="Arial" w:eastAsia="Arial" w:hAnsi="Arial" w:cs="Arial"/>
          <w:color w:val="213042"/>
          <w:sz w:val="22"/>
          <w:szCs w:val="22"/>
        </w:rPr>
      </w:pPr>
      <w:r w:rsidRPr="004B256F">
        <w:rPr>
          <w:rFonts w:ascii="Arial" w:eastAsia="Arial" w:hAnsi="Arial" w:cs="Arial"/>
          <w:color w:val="213042"/>
          <w:sz w:val="22"/>
          <w:szCs w:val="22"/>
        </w:rPr>
        <w:t xml:space="preserve">Des renseignements supplémentaires sur ces hypothèses, risques et incertitudes figurent dans les documents que BTB dépose auprès d’organismes de réglementation des valeurs mobilières, notamment à la rubrique « Facteurs de risque » de la dernière notice annuelle de BTB, qui est disponible sur SEDAR+ au </w:t>
      </w:r>
      <w:hyperlink r:id="rId14" w:history="1">
        <w:r w:rsidR="00D905CE" w:rsidRPr="00D905CE">
          <w:rPr>
            <w:rStyle w:val="Hyperlink"/>
            <w:rFonts w:ascii="Arial" w:eastAsia="Arial" w:hAnsi="Arial" w:cs="Arial"/>
            <w:sz w:val="22"/>
            <w:szCs w:val="22"/>
            <w:lang w:eastAsia="en-US"/>
          </w:rPr>
          <w:t>www.sedarplus.com</w:t>
        </w:r>
      </w:hyperlink>
      <w:r w:rsidRPr="004B256F">
        <w:rPr>
          <w:rFonts w:ascii="Arial" w:eastAsia="Arial" w:hAnsi="Arial" w:cs="Arial"/>
          <w:color w:val="213042"/>
          <w:sz w:val="22"/>
          <w:szCs w:val="22"/>
        </w:rPr>
        <w:t>.</w:t>
      </w:r>
    </w:p>
    <w:p w14:paraId="279D53D8" w14:textId="19222E2F" w:rsidR="004B256F" w:rsidRPr="00223CA1" w:rsidRDefault="004B256F" w:rsidP="00267C98">
      <w:pPr>
        <w:pStyle w:val="NormalWeb"/>
        <w:spacing w:before="120" w:beforeAutospacing="0" w:line="276" w:lineRule="auto"/>
        <w:rPr>
          <w:rFonts w:ascii="Arial" w:eastAsia="Arial" w:hAnsi="Arial" w:cs="Arial"/>
          <w:i/>
          <w:iCs/>
          <w:color w:val="213042"/>
          <w:sz w:val="22"/>
          <w:szCs w:val="22"/>
        </w:rPr>
      </w:pPr>
      <w:r w:rsidRPr="00223CA1">
        <w:rPr>
          <w:rFonts w:ascii="Arial" w:eastAsia="Arial" w:hAnsi="Arial" w:cs="Arial"/>
          <w:i/>
          <w:iCs/>
          <w:color w:val="213042"/>
          <w:sz w:val="22"/>
          <w:szCs w:val="22"/>
        </w:rPr>
        <w:t>Ni la TSX ni son fournisseur de services de réglementation (au sens attribué à ce terme dans les politiques de la TSX) n'acceptent une quelconque responsabilité quant au caractère adéquat ou à l’exactitude du présent communiqué.</w:t>
      </w:r>
    </w:p>
    <w:p w14:paraId="772BDA29" w14:textId="47046929" w:rsidR="00250D81" w:rsidRPr="006D01AC" w:rsidRDefault="00250D81" w:rsidP="00267C98">
      <w:pPr>
        <w:spacing w:before="240"/>
        <w:rPr>
          <w:color w:val="213042"/>
          <w:lang w:val="fr-CA"/>
        </w:rPr>
      </w:pPr>
      <w:bookmarkStart w:id="3" w:name="(i)_Generate_stable_monthly_cash_distrib"/>
      <w:bookmarkStart w:id="4" w:name="FOR_FURTHER_QUESTIONS:"/>
      <w:bookmarkStart w:id="5" w:name="Mr._Michel_Léonard,_President_and_Chief_"/>
      <w:bookmarkEnd w:id="3"/>
      <w:bookmarkEnd w:id="4"/>
      <w:bookmarkEnd w:id="5"/>
    </w:p>
    <w:sectPr w:rsidR="00250D81" w:rsidRPr="006D01AC" w:rsidSect="002A5BFE">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37BC2" w14:textId="77777777" w:rsidR="00686FA9" w:rsidRDefault="00686FA9" w:rsidP="00C02DFF">
      <w:r>
        <w:separator/>
      </w:r>
    </w:p>
  </w:endnote>
  <w:endnote w:type="continuationSeparator" w:id="0">
    <w:p w14:paraId="1F01E4B1" w14:textId="77777777" w:rsidR="00686FA9" w:rsidRDefault="00686FA9" w:rsidP="00C02DFF">
      <w:r>
        <w:continuationSeparator/>
      </w:r>
    </w:p>
  </w:endnote>
  <w:endnote w:type="continuationNotice" w:id="1">
    <w:p w14:paraId="25069916" w14:textId="77777777" w:rsidR="00686FA9" w:rsidRDefault="00686FA9" w:rsidP="00C02D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23501" w14:textId="77777777" w:rsidR="00583808" w:rsidRDefault="005838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647582"/>
      </w:rPr>
      <w:id w:val="2043554521"/>
      <w:docPartObj>
        <w:docPartGallery w:val="Page Numbers (Bottom of Page)"/>
        <w:docPartUnique/>
      </w:docPartObj>
    </w:sdtPr>
    <w:sdtEndPr>
      <w:rPr>
        <w:noProof/>
      </w:rPr>
    </w:sdtEndPr>
    <w:sdtContent>
      <w:p w14:paraId="61925C80" w14:textId="06B728C7" w:rsidR="00AE7F16" w:rsidRPr="00AE7F16" w:rsidRDefault="00AE7F16">
        <w:pPr>
          <w:pStyle w:val="Footer"/>
          <w:jc w:val="right"/>
          <w:rPr>
            <w:color w:val="647582"/>
          </w:rPr>
        </w:pPr>
        <w:r w:rsidRPr="00AE7F16">
          <w:rPr>
            <w:color w:val="647582"/>
          </w:rPr>
          <w:fldChar w:fldCharType="begin"/>
        </w:r>
        <w:r w:rsidRPr="00AE7F16">
          <w:rPr>
            <w:color w:val="647582"/>
          </w:rPr>
          <w:instrText xml:space="preserve"> PAGE   \* MERGEFORMAT </w:instrText>
        </w:r>
        <w:r w:rsidRPr="00AE7F16">
          <w:rPr>
            <w:color w:val="647582"/>
          </w:rPr>
          <w:fldChar w:fldCharType="separate"/>
        </w:r>
        <w:r w:rsidRPr="00AE7F16">
          <w:rPr>
            <w:noProof/>
            <w:color w:val="647582"/>
          </w:rPr>
          <w:t>2</w:t>
        </w:r>
        <w:r w:rsidRPr="00AE7F16">
          <w:rPr>
            <w:noProof/>
            <w:color w:val="647582"/>
          </w:rPr>
          <w:fldChar w:fldCharType="end"/>
        </w:r>
      </w:p>
    </w:sdtContent>
  </w:sdt>
  <w:p w14:paraId="3B14BBDC" w14:textId="77777777" w:rsidR="00AE7F16" w:rsidRDefault="00AE7F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E68EA" w14:textId="77777777" w:rsidR="00583808" w:rsidRDefault="00583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1B3E3" w14:textId="77777777" w:rsidR="00686FA9" w:rsidRDefault="00686FA9" w:rsidP="00C02DFF">
      <w:r>
        <w:separator/>
      </w:r>
    </w:p>
  </w:footnote>
  <w:footnote w:type="continuationSeparator" w:id="0">
    <w:p w14:paraId="58C36C6D" w14:textId="77777777" w:rsidR="00686FA9" w:rsidRDefault="00686FA9" w:rsidP="00C02DFF">
      <w:r>
        <w:continuationSeparator/>
      </w:r>
    </w:p>
  </w:footnote>
  <w:footnote w:type="continuationNotice" w:id="1">
    <w:p w14:paraId="59CB8C18" w14:textId="77777777" w:rsidR="00686FA9" w:rsidRDefault="00686FA9" w:rsidP="00C02D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1B179" w14:textId="77777777" w:rsidR="00583808" w:rsidRDefault="00583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36ED1" w14:textId="77777777" w:rsidR="00583808" w:rsidRDefault="00583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1B4E8" w14:textId="77777777" w:rsidR="00583808" w:rsidRDefault="00583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51B63"/>
    <w:multiLevelType w:val="hybridMultilevel"/>
    <w:tmpl w:val="F7EA63B4"/>
    <w:lvl w:ilvl="0" w:tplc="88B072B2">
      <w:start w:val="1"/>
      <w:numFmt w:val="decimal"/>
      <w:lvlText w:val="(%1)"/>
      <w:lvlJc w:val="left"/>
      <w:pPr>
        <w:ind w:left="1185" w:hanging="721"/>
      </w:pPr>
      <w:rPr>
        <w:rFonts w:ascii="Arial" w:eastAsia="Arial" w:hAnsi="Arial" w:cs="Arial"/>
        <w:spacing w:val="-6"/>
        <w:w w:val="100"/>
        <w:sz w:val="22"/>
        <w:szCs w:val="22"/>
      </w:rPr>
    </w:lvl>
    <w:lvl w:ilvl="1" w:tplc="567EBC58">
      <w:numFmt w:val="bullet"/>
      <w:lvlText w:val="•"/>
      <w:lvlJc w:val="left"/>
      <w:pPr>
        <w:ind w:left="2060" w:hanging="721"/>
      </w:pPr>
      <w:rPr>
        <w:rFonts w:hint="default"/>
      </w:rPr>
    </w:lvl>
    <w:lvl w:ilvl="2" w:tplc="F4CA98E0">
      <w:numFmt w:val="bullet"/>
      <w:lvlText w:val="•"/>
      <w:lvlJc w:val="left"/>
      <w:pPr>
        <w:ind w:left="2940" w:hanging="721"/>
      </w:pPr>
      <w:rPr>
        <w:rFonts w:hint="default"/>
      </w:rPr>
    </w:lvl>
    <w:lvl w:ilvl="3" w:tplc="2FF8907A">
      <w:numFmt w:val="bullet"/>
      <w:lvlText w:val="•"/>
      <w:lvlJc w:val="left"/>
      <w:pPr>
        <w:ind w:left="3820" w:hanging="721"/>
      </w:pPr>
      <w:rPr>
        <w:rFonts w:hint="default"/>
      </w:rPr>
    </w:lvl>
    <w:lvl w:ilvl="4" w:tplc="2A9289D0">
      <w:numFmt w:val="bullet"/>
      <w:lvlText w:val="•"/>
      <w:lvlJc w:val="left"/>
      <w:pPr>
        <w:ind w:left="4700" w:hanging="721"/>
      </w:pPr>
      <w:rPr>
        <w:rFonts w:hint="default"/>
      </w:rPr>
    </w:lvl>
    <w:lvl w:ilvl="5" w:tplc="58C6F976">
      <w:numFmt w:val="bullet"/>
      <w:lvlText w:val="•"/>
      <w:lvlJc w:val="left"/>
      <w:pPr>
        <w:ind w:left="5580" w:hanging="721"/>
      </w:pPr>
      <w:rPr>
        <w:rFonts w:hint="default"/>
      </w:rPr>
    </w:lvl>
    <w:lvl w:ilvl="6" w:tplc="C3343362">
      <w:numFmt w:val="bullet"/>
      <w:lvlText w:val="•"/>
      <w:lvlJc w:val="left"/>
      <w:pPr>
        <w:ind w:left="6460" w:hanging="721"/>
      </w:pPr>
      <w:rPr>
        <w:rFonts w:hint="default"/>
      </w:rPr>
    </w:lvl>
    <w:lvl w:ilvl="7" w:tplc="C4F208E4">
      <w:numFmt w:val="bullet"/>
      <w:lvlText w:val="•"/>
      <w:lvlJc w:val="left"/>
      <w:pPr>
        <w:ind w:left="7340" w:hanging="721"/>
      </w:pPr>
      <w:rPr>
        <w:rFonts w:hint="default"/>
      </w:rPr>
    </w:lvl>
    <w:lvl w:ilvl="8" w:tplc="61F8FEC6">
      <w:numFmt w:val="bullet"/>
      <w:lvlText w:val="•"/>
      <w:lvlJc w:val="left"/>
      <w:pPr>
        <w:ind w:left="8220" w:hanging="721"/>
      </w:pPr>
      <w:rPr>
        <w:rFonts w:hint="default"/>
      </w:rPr>
    </w:lvl>
  </w:abstractNum>
  <w:abstractNum w:abstractNumId="1" w15:restartNumberingAfterBreak="0">
    <w:nsid w:val="19E46C94"/>
    <w:multiLevelType w:val="hybridMultilevel"/>
    <w:tmpl w:val="6E728D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D69073C"/>
    <w:multiLevelType w:val="hybridMultilevel"/>
    <w:tmpl w:val="14A08088"/>
    <w:lvl w:ilvl="0" w:tplc="E6609A2C">
      <w:numFmt w:val="bullet"/>
      <w:lvlText w:val="-"/>
      <w:lvlJc w:val="left"/>
      <w:pPr>
        <w:ind w:left="720" w:hanging="360"/>
      </w:pPr>
      <w:rPr>
        <w:rFonts w:ascii="Arial" w:eastAsia="Arial"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D540BE2"/>
    <w:multiLevelType w:val="hybridMultilevel"/>
    <w:tmpl w:val="FD460E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664364DC"/>
    <w:multiLevelType w:val="hybridMultilevel"/>
    <w:tmpl w:val="8B363C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38379830">
    <w:abstractNumId w:val="2"/>
  </w:num>
  <w:num w:numId="2" w16cid:durableId="1100761592">
    <w:abstractNumId w:val="0"/>
  </w:num>
  <w:num w:numId="3" w16cid:durableId="935603189">
    <w:abstractNumId w:val="4"/>
  </w:num>
  <w:num w:numId="4" w16cid:durableId="2081321649">
    <w:abstractNumId w:val="1"/>
  </w:num>
  <w:num w:numId="5" w16cid:durableId="516047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897"/>
    <w:rsid w:val="000048A2"/>
    <w:rsid w:val="0000585F"/>
    <w:rsid w:val="0001337E"/>
    <w:rsid w:val="00014B60"/>
    <w:rsid w:val="00040A0D"/>
    <w:rsid w:val="00047F06"/>
    <w:rsid w:val="000532D1"/>
    <w:rsid w:val="000559B1"/>
    <w:rsid w:val="00063CE3"/>
    <w:rsid w:val="00076CF3"/>
    <w:rsid w:val="00080618"/>
    <w:rsid w:val="0008348E"/>
    <w:rsid w:val="00085323"/>
    <w:rsid w:val="000870CB"/>
    <w:rsid w:val="000B1848"/>
    <w:rsid w:val="000B6C4E"/>
    <w:rsid w:val="000C5FC7"/>
    <w:rsid w:val="000D0A75"/>
    <w:rsid w:val="000E031A"/>
    <w:rsid w:val="000E15B0"/>
    <w:rsid w:val="000E6302"/>
    <w:rsid w:val="0011493D"/>
    <w:rsid w:val="00114E6E"/>
    <w:rsid w:val="00120BF4"/>
    <w:rsid w:val="00121A8E"/>
    <w:rsid w:val="00132962"/>
    <w:rsid w:val="0014021B"/>
    <w:rsid w:val="00141B04"/>
    <w:rsid w:val="00156092"/>
    <w:rsid w:val="00163FA1"/>
    <w:rsid w:val="00174B3C"/>
    <w:rsid w:val="00177437"/>
    <w:rsid w:val="00182B0C"/>
    <w:rsid w:val="00183B74"/>
    <w:rsid w:val="00185EA4"/>
    <w:rsid w:val="00191EE5"/>
    <w:rsid w:val="001A1BDC"/>
    <w:rsid w:val="001B0F7F"/>
    <w:rsid w:val="001B32E3"/>
    <w:rsid w:val="001B3412"/>
    <w:rsid w:val="001B7B2D"/>
    <w:rsid w:val="001C3E58"/>
    <w:rsid w:val="001C441B"/>
    <w:rsid w:val="001C50A2"/>
    <w:rsid w:val="001D3D62"/>
    <w:rsid w:val="001E1302"/>
    <w:rsid w:val="001E663E"/>
    <w:rsid w:val="001F0A3C"/>
    <w:rsid w:val="001F0B14"/>
    <w:rsid w:val="001F7A49"/>
    <w:rsid w:val="001F7AD2"/>
    <w:rsid w:val="00222467"/>
    <w:rsid w:val="00222517"/>
    <w:rsid w:val="00223CA1"/>
    <w:rsid w:val="002438D3"/>
    <w:rsid w:val="00250D81"/>
    <w:rsid w:val="00256CCC"/>
    <w:rsid w:val="0026021D"/>
    <w:rsid w:val="002603EF"/>
    <w:rsid w:val="00263E9E"/>
    <w:rsid w:val="0026666C"/>
    <w:rsid w:val="00267C98"/>
    <w:rsid w:val="002749ED"/>
    <w:rsid w:val="00281984"/>
    <w:rsid w:val="00287E34"/>
    <w:rsid w:val="00291E52"/>
    <w:rsid w:val="002936EE"/>
    <w:rsid w:val="002A5BFE"/>
    <w:rsid w:val="002B6392"/>
    <w:rsid w:val="002B7DC9"/>
    <w:rsid w:val="002D3023"/>
    <w:rsid w:val="002D308B"/>
    <w:rsid w:val="002D461E"/>
    <w:rsid w:val="0031171D"/>
    <w:rsid w:val="0031525B"/>
    <w:rsid w:val="00333543"/>
    <w:rsid w:val="003408EF"/>
    <w:rsid w:val="00342526"/>
    <w:rsid w:val="00346E08"/>
    <w:rsid w:val="0038040A"/>
    <w:rsid w:val="003858A4"/>
    <w:rsid w:val="00390AA5"/>
    <w:rsid w:val="00390BC6"/>
    <w:rsid w:val="003A54E9"/>
    <w:rsid w:val="003B12E7"/>
    <w:rsid w:val="003B178C"/>
    <w:rsid w:val="003B2C59"/>
    <w:rsid w:val="003C4AA3"/>
    <w:rsid w:val="003E42F4"/>
    <w:rsid w:val="003E433F"/>
    <w:rsid w:val="003F2E60"/>
    <w:rsid w:val="003F3D8A"/>
    <w:rsid w:val="003F4356"/>
    <w:rsid w:val="00401D39"/>
    <w:rsid w:val="004023DB"/>
    <w:rsid w:val="00416EED"/>
    <w:rsid w:val="00431056"/>
    <w:rsid w:val="00440DB3"/>
    <w:rsid w:val="004433F9"/>
    <w:rsid w:val="00451765"/>
    <w:rsid w:val="00455AB4"/>
    <w:rsid w:val="004574C3"/>
    <w:rsid w:val="00483D37"/>
    <w:rsid w:val="00497D1E"/>
    <w:rsid w:val="004B256F"/>
    <w:rsid w:val="004B7D76"/>
    <w:rsid w:val="004C1C92"/>
    <w:rsid w:val="004D568D"/>
    <w:rsid w:val="004F27C7"/>
    <w:rsid w:val="004F7D6E"/>
    <w:rsid w:val="00506723"/>
    <w:rsid w:val="0052191E"/>
    <w:rsid w:val="00530883"/>
    <w:rsid w:val="00541945"/>
    <w:rsid w:val="005456E6"/>
    <w:rsid w:val="00547FC7"/>
    <w:rsid w:val="005517AD"/>
    <w:rsid w:val="00552E94"/>
    <w:rsid w:val="00560C93"/>
    <w:rsid w:val="005663F4"/>
    <w:rsid w:val="00572F95"/>
    <w:rsid w:val="00583808"/>
    <w:rsid w:val="005C170A"/>
    <w:rsid w:val="005E1BCB"/>
    <w:rsid w:val="005E629E"/>
    <w:rsid w:val="005E6E9C"/>
    <w:rsid w:val="005F3B52"/>
    <w:rsid w:val="005F582D"/>
    <w:rsid w:val="00600C2D"/>
    <w:rsid w:val="0060135D"/>
    <w:rsid w:val="006055E2"/>
    <w:rsid w:val="00610DB3"/>
    <w:rsid w:val="00612FB6"/>
    <w:rsid w:val="00633D94"/>
    <w:rsid w:val="00644C09"/>
    <w:rsid w:val="00652016"/>
    <w:rsid w:val="0066169E"/>
    <w:rsid w:val="00675D0B"/>
    <w:rsid w:val="0067637A"/>
    <w:rsid w:val="00685EBE"/>
    <w:rsid w:val="00686FA9"/>
    <w:rsid w:val="00691DF4"/>
    <w:rsid w:val="006A4D6B"/>
    <w:rsid w:val="006C005A"/>
    <w:rsid w:val="006C23A1"/>
    <w:rsid w:val="006C4367"/>
    <w:rsid w:val="006D01AC"/>
    <w:rsid w:val="006D2256"/>
    <w:rsid w:val="006D37FB"/>
    <w:rsid w:val="006D4043"/>
    <w:rsid w:val="006F0B76"/>
    <w:rsid w:val="006F4724"/>
    <w:rsid w:val="00705C8B"/>
    <w:rsid w:val="00711B14"/>
    <w:rsid w:val="00717D1D"/>
    <w:rsid w:val="00721486"/>
    <w:rsid w:val="0073176E"/>
    <w:rsid w:val="00731C8B"/>
    <w:rsid w:val="00745976"/>
    <w:rsid w:val="00747728"/>
    <w:rsid w:val="00751028"/>
    <w:rsid w:val="00751C3B"/>
    <w:rsid w:val="00751E40"/>
    <w:rsid w:val="00752AAE"/>
    <w:rsid w:val="00755065"/>
    <w:rsid w:val="00756A50"/>
    <w:rsid w:val="00761DE2"/>
    <w:rsid w:val="007633B1"/>
    <w:rsid w:val="007676B9"/>
    <w:rsid w:val="00777C47"/>
    <w:rsid w:val="0078005E"/>
    <w:rsid w:val="007975D8"/>
    <w:rsid w:val="007E14C5"/>
    <w:rsid w:val="007F40EA"/>
    <w:rsid w:val="007F4539"/>
    <w:rsid w:val="007F7656"/>
    <w:rsid w:val="008045AD"/>
    <w:rsid w:val="008234A9"/>
    <w:rsid w:val="008241A5"/>
    <w:rsid w:val="0082462E"/>
    <w:rsid w:val="008410CB"/>
    <w:rsid w:val="00841FD9"/>
    <w:rsid w:val="00843F38"/>
    <w:rsid w:val="008456D7"/>
    <w:rsid w:val="008523EE"/>
    <w:rsid w:val="00854598"/>
    <w:rsid w:val="008547EB"/>
    <w:rsid w:val="00870B8F"/>
    <w:rsid w:val="00872459"/>
    <w:rsid w:val="00872FBA"/>
    <w:rsid w:val="00877078"/>
    <w:rsid w:val="00885C90"/>
    <w:rsid w:val="00893E26"/>
    <w:rsid w:val="008A5D67"/>
    <w:rsid w:val="008B0BB2"/>
    <w:rsid w:val="008C450C"/>
    <w:rsid w:val="008C62AE"/>
    <w:rsid w:val="008C73C4"/>
    <w:rsid w:val="008D74B2"/>
    <w:rsid w:val="008F3CFE"/>
    <w:rsid w:val="008F50E3"/>
    <w:rsid w:val="0091329E"/>
    <w:rsid w:val="00915668"/>
    <w:rsid w:val="00933D6A"/>
    <w:rsid w:val="00941456"/>
    <w:rsid w:val="00943353"/>
    <w:rsid w:val="009518A1"/>
    <w:rsid w:val="00951DC9"/>
    <w:rsid w:val="00953C1B"/>
    <w:rsid w:val="009624E0"/>
    <w:rsid w:val="00981891"/>
    <w:rsid w:val="009A04E0"/>
    <w:rsid w:val="009B0729"/>
    <w:rsid w:val="009C4944"/>
    <w:rsid w:val="009C5F5B"/>
    <w:rsid w:val="009C6146"/>
    <w:rsid w:val="009E34EB"/>
    <w:rsid w:val="009E5AF5"/>
    <w:rsid w:val="00A05F32"/>
    <w:rsid w:val="00A06216"/>
    <w:rsid w:val="00A10637"/>
    <w:rsid w:val="00A212EA"/>
    <w:rsid w:val="00A25E17"/>
    <w:rsid w:val="00A32E3D"/>
    <w:rsid w:val="00A43AD8"/>
    <w:rsid w:val="00A4749F"/>
    <w:rsid w:val="00A55F51"/>
    <w:rsid w:val="00A635F3"/>
    <w:rsid w:val="00A63AB8"/>
    <w:rsid w:val="00A71086"/>
    <w:rsid w:val="00A71FB6"/>
    <w:rsid w:val="00A84B06"/>
    <w:rsid w:val="00AB431E"/>
    <w:rsid w:val="00AB4A1C"/>
    <w:rsid w:val="00AB53B1"/>
    <w:rsid w:val="00AC56D7"/>
    <w:rsid w:val="00AE7F16"/>
    <w:rsid w:val="00AF0D4F"/>
    <w:rsid w:val="00B05897"/>
    <w:rsid w:val="00B1121C"/>
    <w:rsid w:val="00B13191"/>
    <w:rsid w:val="00B17DEB"/>
    <w:rsid w:val="00B21CAD"/>
    <w:rsid w:val="00B24CF5"/>
    <w:rsid w:val="00B37CD5"/>
    <w:rsid w:val="00B42375"/>
    <w:rsid w:val="00B66A8F"/>
    <w:rsid w:val="00B7101C"/>
    <w:rsid w:val="00B77482"/>
    <w:rsid w:val="00B906DE"/>
    <w:rsid w:val="00B92BBF"/>
    <w:rsid w:val="00B979C5"/>
    <w:rsid w:val="00B97C9A"/>
    <w:rsid w:val="00BB5D52"/>
    <w:rsid w:val="00BB72E8"/>
    <w:rsid w:val="00BB7FFC"/>
    <w:rsid w:val="00BD06A7"/>
    <w:rsid w:val="00BD29F0"/>
    <w:rsid w:val="00BD7875"/>
    <w:rsid w:val="00BE11D3"/>
    <w:rsid w:val="00BE29BF"/>
    <w:rsid w:val="00BF2270"/>
    <w:rsid w:val="00BF3F1F"/>
    <w:rsid w:val="00C02DFF"/>
    <w:rsid w:val="00C1322E"/>
    <w:rsid w:val="00C15C9C"/>
    <w:rsid w:val="00C230BC"/>
    <w:rsid w:val="00C23B9B"/>
    <w:rsid w:val="00C346AF"/>
    <w:rsid w:val="00C3604C"/>
    <w:rsid w:val="00C532C4"/>
    <w:rsid w:val="00C53A43"/>
    <w:rsid w:val="00C6788C"/>
    <w:rsid w:val="00C7047C"/>
    <w:rsid w:val="00C8317E"/>
    <w:rsid w:val="00CA006F"/>
    <w:rsid w:val="00CA1767"/>
    <w:rsid w:val="00CB4F7B"/>
    <w:rsid w:val="00CB659B"/>
    <w:rsid w:val="00CD10F1"/>
    <w:rsid w:val="00CE271D"/>
    <w:rsid w:val="00CE671C"/>
    <w:rsid w:val="00CF5F03"/>
    <w:rsid w:val="00D02718"/>
    <w:rsid w:val="00D073DB"/>
    <w:rsid w:val="00D123B7"/>
    <w:rsid w:val="00D34309"/>
    <w:rsid w:val="00D35F75"/>
    <w:rsid w:val="00D412FE"/>
    <w:rsid w:val="00D423DB"/>
    <w:rsid w:val="00D47298"/>
    <w:rsid w:val="00D50261"/>
    <w:rsid w:val="00D51081"/>
    <w:rsid w:val="00D51400"/>
    <w:rsid w:val="00D842C0"/>
    <w:rsid w:val="00D905CE"/>
    <w:rsid w:val="00DA0894"/>
    <w:rsid w:val="00DA1B5B"/>
    <w:rsid w:val="00DA5939"/>
    <w:rsid w:val="00DB352C"/>
    <w:rsid w:val="00DC1CFB"/>
    <w:rsid w:val="00DD4C1B"/>
    <w:rsid w:val="00DD66D3"/>
    <w:rsid w:val="00DF0BC0"/>
    <w:rsid w:val="00DF66AE"/>
    <w:rsid w:val="00E114C0"/>
    <w:rsid w:val="00E15CBD"/>
    <w:rsid w:val="00E1611A"/>
    <w:rsid w:val="00E22A2E"/>
    <w:rsid w:val="00E263CC"/>
    <w:rsid w:val="00E3090E"/>
    <w:rsid w:val="00E3180E"/>
    <w:rsid w:val="00E31FBA"/>
    <w:rsid w:val="00E41E94"/>
    <w:rsid w:val="00E432C4"/>
    <w:rsid w:val="00E5228E"/>
    <w:rsid w:val="00E70790"/>
    <w:rsid w:val="00E82A88"/>
    <w:rsid w:val="00E85612"/>
    <w:rsid w:val="00E95836"/>
    <w:rsid w:val="00EA6A83"/>
    <w:rsid w:val="00EB28AC"/>
    <w:rsid w:val="00EB471A"/>
    <w:rsid w:val="00EB4EFB"/>
    <w:rsid w:val="00EC085A"/>
    <w:rsid w:val="00EC4CC6"/>
    <w:rsid w:val="00EC684D"/>
    <w:rsid w:val="00EC7E1B"/>
    <w:rsid w:val="00ED08CB"/>
    <w:rsid w:val="00ED2EA1"/>
    <w:rsid w:val="00ED3844"/>
    <w:rsid w:val="00ED4562"/>
    <w:rsid w:val="00EE4968"/>
    <w:rsid w:val="00EE66D7"/>
    <w:rsid w:val="00EF7C1E"/>
    <w:rsid w:val="00F052E7"/>
    <w:rsid w:val="00F15B6D"/>
    <w:rsid w:val="00F22F03"/>
    <w:rsid w:val="00F238DD"/>
    <w:rsid w:val="00F26005"/>
    <w:rsid w:val="00F27CF1"/>
    <w:rsid w:val="00F319EA"/>
    <w:rsid w:val="00F510AD"/>
    <w:rsid w:val="00F57BC7"/>
    <w:rsid w:val="00F60AA6"/>
    <w:rsid w:val="00F719B0"/>
    <w:rsid w:val="00F72D5C"/>
    <w:rsid w:val="00F74F06"/>
    <w:rsid w:val="00F8356D"/>
    <w:rsid w:val="00FA7D4F"/>
    <w:rsid w:val="00FD44B4"/>
    <w:rsid w:val="00FD5576"/>
    <w:rsid w:val="00FF3EB1"/>
    <w:rsid w:val="00FF79C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66F14"/>
  <w15:chartTrackingRefBased/>
  <w15:docId w15:val="{239DFA3D-1905-4716-B8C8-0D5CFC62D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DFF"/>
    <w:pPr>
      <w:jc w:val="both"/>
    </w:pPr>
    <w:rPr>
      <w:rFonts w:ascii="Arial" w:eastAsia="Arial" w:hAnsi="Arial" w:cs="Arial"/>
      <w:lang w:val="en-CA"/>
    </w:rPr>
  </w:style>
  <w:style w:type="paragraph" w:styleId="Heading1">
    <w:name w:val="heading 1"/>
    <w:aliases w:val="TITRE"/>
    <w:basedOn w:val="Normal"/>
    <w:next w:val="Normal"/>
    <w:link w:val="Heading1Char"/>
    <w:uiPriority w:val="9"/>
    <w:qFormat/>
    <w:rsid w:val="004023DB"/>
    <w:pPr>
      <w:spacing w:before="480" w:after="240"/>
      <w:outlineLvl w:val="0"/>
    </w:pPr>
    <w:rPr>
      <w:b/>
      <w:color w:val="647582"/>
      <w:sz w:val="26"/>
      <w:szCs w:val="26"/>
    </w:rPr>
  </w:style>
  <w:style w:type="paragraph" w:styleId="Heading2">
    <w:name w:val="heading 2"/>
    <w:aliases w:val="SOUS_TITRES"/>
    <w:basedOn w:val="Heading1"/>
    <w:next w:val="Normal"/>
    <w:link w:val="Heading2Char"/>
    <w:uiPriority w:val="9"/>
    <w:unhideWhenUsed/>
    <w:qFormat/>
    <w:rsid w:val="00B05897"/>
    <w:pPr>
      <w:outlineLvl w:val="1"/>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58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897"/>
    <w:rPr>
      <w:rFonts w:ascii="Segoe UI" w:eastAsia="Arial" w:hAnsi="Segoe UI" w:cs="Segoe UI"/>
      <w:sz w:val="18"/>
      <w:szCs w:val="18"/>
      <w:lang w:val="en-US"/>
    </w:rPr>
  </w:style>
  <w:style w:type="paragraph" w:styleId="BodyText">
    <w:name w:val="Body Text"/>
    <w:basedOn w:val="Normal"/>
    <w:link w:val="BodyTextChar"/>
    <w:uiPriority w:val="1"/>
    <w:qFormat/>
    <w:rsid w:val="00B05897"/>
  </w:style>
  <w:style w:type="character" w:customStyle="1" w:styleId="BodyTextChar">
    <w:name w:val="Body Text Char"/>
    <w:basedOn w:val="DefaultParagraphFont"/>
    <w:link w:val="BodyText"/>
    <w:uiPriority w:val="1"/>
    <w:rsid w:val="00B05897"/>
    <w:rPr>
      <w:rFonts w:ascii="Arial" w:eastAsia="Arial" w:hAnsi="Arial" w:cs="Arial"/>
      <w:lang w:val="en-US"/>
    </w:rPr>
  </w:style>
  <w:style w:type="character" w:customStyle="1" w:styleId="Heading1Char">
    <w:name w:val="Heading 1 Char"/>
    <w:aliases w:val="TITRE Char"/>
    <w:basedOn w:val="DefaultParagraphFont"/>
    <w:link w:val="Heading1"/>
    <w:uiPriority w:val="9"/>
    <w:rsid w:val="004023DB"/>
    <w:rPr>
      <w:rFonts w:ascii="Arial" w:eastAsia="Arial" w:hAnsi="Arial" w:cs="Arial"/>
      <w:b/>
      <w:color w:val="647582"/>
      <w:sz w:val="26"/>
      <w:szCs w:val="26"/>
      <w:lang w:val="en-US"/>
    </w:rPr>
  </w:style>
  <w:style w:type="character" w:customStyle="1" w:styleId="Heading2Char">
    <w:name w:val="Heading 2 Char"/>
    <w:aliases w:val="SOUS_TITRES Char"/>
    <w:basedOn w:val="DefaultParagraphFont"/>
    <w:link w:val="Heading2"/>
    <w:uiPriority w:val="9"/>
    <w:rsid w:val="00B05897"/>
    <w:rPr>
      <w:rFonts w:ascii="Arial" w:eastAsia="Arial" w:hAnsi="Arial" w:cs="Arial"/>
      <w:b/>
      <w:sz w:val="24"/>
      <w:szCs w:val="20"/>
      <w:lang w:val="en-US"/>
    </w:rPr>
  </w:style>
  <w:style w:type="paragraph" w:styleId="ListParagraph">
    <w:name w:val="List Paragraph"/>
    <w:basedOn w:val="Normal"/>
    <w:link w:val="ListParagraphChar"/>
    <w:uiPriority w:val="34"/>
    <w:qFormat/>
    <w:rsid w:val="00B05897"/>
    <w:pPr>
      <w:ind w:left="1185" w:right="116" w:hanging="720"/>
    </w:pPr>
  </w:style>
  <w:style w:type="character" w:styleId="CommentReference">
    <w:name w:val="annotation reference"/>
    <w:basedOn w:val="DefaultParagraphFont"/>
    <w:uiPriority w:val="99"/>
    <w:semiHidden/>
    <w:unhideWhenUsed/>
    <w:rsid w:val="00B05897"/>
    <w:rPr>
      <w:sz w:val="16"/>
      <w:szCs w:val="16"/>
    </w:rPr>
  </w:style>
  <w:style w:type="paragraph" w:styleId="CommentText">
    <w:name w:val="annotation text"/>
    <w:basedOn w:val="Normal"/>
    <w:link w:val="CommentTextChar"/>
    <w:uiPriority w:val="99"/>
    <w:unhideWhenUsed/>
    <w:rsid w:val="00B05897"/>
    <w:rPr>
      <w:sz w:val="20"/>
      <w:szCs w:val="20"/>
    </w:rPr>
  </w:style>
  <w:style w:type="character" w:customStyle="1" w:styleId="CommentTextChar">
    <w:name w:val="Comment Text Char"/>
    <w:basedOn w:val="DefaultParagraphFont"/>
    <w:link w:val="CommentText"/>
    <w:uiPriority w:val="99"/>
    <w:rsid w:val="00B05897"/>
    <w:rPr>
      <w:rFonts w:ascii="Arial" w:eastAsia="Arial" w:hAnsi="Arial" w:cs="Arial"/>
      <w:sz w:val="20"/>
      <w:szCs w:val="20"/>
      <w:lang w:val="en-US"/>
    </w:rPr>
  </w:style>
  <w:style w:type="paragraph" w:styleId="Header">
    <w:name w:val="header"/>
    <w:basedOn w:val="Normal"/>
    <w:link w:val="HeaderChar"/>
    <w:uiPriority w:val="99"/>
    <w:unhideWhenUsed/>
    <w:rsid w:val="00B05897"/>
    <w:pPr>
      <w:tabs>
        <w:tab w:val="center" w:pos="4320"/>
        <w:tab w:val="right" w:pos="8640"/>
      </w:tabs>
    </w:pPr>
  </w:style>
  <w:style w:type="character" w:customStyle="1" w:styleId="HeaderChar">
    <w:name w:val="Header Char"/>
    <w:basedOn w:val="DefaultParagraphFont"/>
    <w:link w:val="Header"/>
    <w:uiPriority w:val="99"/>
    <w:rsid w:val="00B05897"/>
    <w:rPr>
      <w:rFonts w:ascii="Arial" w:eastAsia="Arial" w:hAnsi="Arial" w:cs="Arial"/>
      <w:lang w:val="en-US"/>
    </w:rPr>
  </w:style>
  <w:style w:type="paragraph" w:styleId="Footer">
    <w:name w:val="footer"/>
    <w:basedOn w:val="Normal"/>
    <w:link w:val="FooterChar"/>
    <w:uiPriority w:val="99"/>
    <w:unhideWhenUsed/>
    <w:rsid w:val="00B05897"/>
    <w:pPr>
      <w:tabs>
        <w:tab w:val="center" w:pos="4320"/>
        <w:tab w:val="right" w:pos="8640"/>
      </w:tabs>
    </w:pPr>
  </w:style>
  <w:style w:type="character" w:customStyle="1" w:styleId="FooterChar">
    <w:name w:val="Footer Char"/>
    <w:basedOn w:val="DefaultParagraphFont"/>
    <w:link w:val="Footer"/>
    <w:uiPriority w:val="99"/>
    <w:rsid w:val="00B05897"/>
    <w:rPr>
      <w:rFonts w:ascii="Arial" w:eastAsia="Arial" w:hAnsi="Arial" w:cs="Arial"/>
      <w:lang w:val="en-US"/>
    </w:rPr>
  </w:style>
  <w:style w:type="character" w:styleId="Hyperlink">
    <w:name w:val="Hyperlink"/>
    <w:basedOn w:val="DefaultParagraphFont"/>
    <w:uiPriority w:val="99"/>
    <w:unhideWhenUsed/>
    <w:rsid w:val="00893E26"/>
    <w:rPr>
      <w:color w:val="0000FF" w:themeColor="hyperlink"/>
      <w:u w:val="single"/>
    </w:rPr>
  </w:style>
  <w:style w:type="character" w:styleId="UnresolvedMention">
    <w:name w:val="Unresolved Mention"/>
    <w:basedOn w:val="DefaultParagraphFont"/>
    <w:uiPriority w:val="99"/>
    <w:semiHidden/>
    <w:unhideWhenUsed/>
    <w:rsid w:val="00893E26"/>
    <w:rPr>
      <w:color w:val="605E5C"/>
      <w:shd w:val="clear" w:color="auto" w:fill="E1DFDD"/>
    </w:rPr>
  </w:style>
  <w:style w:type="paragraph" w:styleId="Revision">
    <w:name w:val="Revision"/>
    <w:hidden/>
    <w:uiPriority w:val="99"/>
    <w:semiHidden/>
    <w:rsid w:val="00063CE3"/>
    <w:pPr>
      <w:spacing w:after="0" w:line="240" w:lineRule="auto"/>
    </w:pPr>
    <w:rPr>
      <w:rFonts w:ascii="Arial" w:eastAsia="Arial" w:hAnsi="Arial" w:cs="Arial"/>
      <w:lang w:val="en-US"/>
    </w:rPr>
  </w:style>
  <w:style w:type="paragraph" w:styleId="CommentSubject">
    <w:name w:val="annotation subject"/>
    <w:basedOn w:val="CommentText"/>
    <w:next w:val="CommentText"/>
    <w:link w:val="CommentSubjectChar"/>
    <w:uiPriority w:val="99"/>
    <w:semiHidden/>
    <w:unhideWhenUsed/>
    <w:rsid w:val="00063CE3"/>
    <w:rPr>
      <w:b/>
      <w:bCs/>
    </w:rPr>
  </w:style>
  <w:style w:type="character" w:customStyle="1" w:styleId="CommentSubjectChar">
    <w:name w:val="Comment Subject Char"/>
    <w:basedOn w:val="CommentTextChar"/>
    <w:link w:val="CommentSubject"/>
    <w:uiPriority w:val="99"/>
    <w:semiHidden/>
    <w:rsid w:val="00063CE3"/>
    <w:rPr>
      <w:rFonts w:ascii="Arial" w:eastAsia="Arial" w:hAnsi="Arial" w:cs="Arial"/>
      <w:b/>
      <w:bCs/>
      <w:sz w:val="20"/>
      <w:szCs w:val="20"/>
      <w:lang w:val="en-US"/>
    </w:rPr>
  </w:style>
  <w:style w:type="character" w:customStyle="1" w:styleId="ListParagraphChar">
    <w:name w:val="List Paragraph Char"/>
    <w:link w:val="ListParagraph"/>
    <w:uiPriority w:val="34"/>
    <w:rsid w:val="00747728"/>
    <w:rPr>
      <w:rFonts w:ascii="Arial" w:eastAsia="Arial" w:hAnsi="Arial" w:cs="Arial"/>
      <w:lang w:val="en-US"/>
    </w:rPr>
  </w:style>
  <w:style w:type="table" w:styleId="TableGrid">
    <w:name w:val="Table Grid"/>
    <w:basedOn w:val="TableNormal"/>
    <w:uiPriority w:val="59"/>
    <w:rsid w:val="001B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50D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0D81"/>
    <w:rPr>
      <w:rFonts w:ascii="Arial" w:eastAsia="Arial" w:hAnsi="Arial" w:cs="Arial"/>
      <w:sz w:val="20"/>
      <w:szCs w:val="20"/>
      <w:lang w:val="en-US"/>
    </w:rPr>
  </w:style>
  <w:style w:type="character" w:styleId="FootnoteReference">
    <w:name w:val="footnote reference"/>
    <w:basedOn w:val="DefaultParagraphFont"/>
    <w:uiPriority w:val="99"/>
    <w:semiHidden/>
    <w:unhideWhenUsed/>
    <w:rsid w:val="00250D81"/>
    <w:rPr>
      <w:vertAlign w:val="superscript"/>
    </w:rPr>
  </w:style>
  <w:style w:type="paragraph" w:customStyle="1" w:styleId="Default">
    <w:name w:val="Default"/>
    <w:rsid w:val="00163FA1"/>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433F9"/>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styleId="FollowedHyperlink">
    <w:name w:val="FollowedHyperlink"/>
    <w:basedOn w:val="DefaultParagraphFont"/>
    <w:uiPriority w:val="99"/>
    <w:semiHidden/>
    <w:unhideWhenUsed/>
    <w:rsid w:val="00D905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206242">
      <w:bodyDiv w:val="1"/>
      <w:marLeft w:val="0"/>
      <w:marRight w:val="0"/>
      <w:marTop w:val="0"/>
      <w:marBottom w:val="0"/>
      <w:divBdr>
        <w:top w:val="none" w:sz="0" w:space="0" w:color="auto"/>
        <w:left w:val="none" w:sz="0" w:space="0" w:color="auto"/>
        <w:bottom w:val="none" w:sz="0" w:space="0" w:color="auto"/>
        <w:right w:val="none" w:sz="0" w:space="0" w:color="auto"/>
      </w:divBdr>
    </w:div>
    <w:div w:id="719017192">
      <w:bodyDiv w:val="1"/>
      <w:marLeft w:val="0"/>
      <w:marRight w:val="0"/>
      <w:marTop w:val="0"/>
      <w:marBottom w:val="0"/>
      <w:divBdr>
        <w:top w:val="none" w:sz="0" w:space="0" w:color="auto"/>
        <w:left w:val="none" w:sz="0" w:space="0" w:color="auto"/>
        <w:bottom w:val="none" w:sz="0" w:space="0" w:color="auto"/>
        <w:right w:val="none" w:sz="0" w:space="0" w:color="auto"/>
      </w:divBdr>
    </w:div>
    <w:div w:id="809977403">
      <w:bodyDiv w:val="1"/>
      <w:marLeft w:val="0"/>
      <w:marRight w:val="0"/>
      <w:marTop w:val="0"/>
      <w:marBottom w:val="0"/>
      <w:divBdr>
        <w:top w:val="none" w:sz="0" w:space="0" w:color="auto"/>
        <w:left w:val="none" w:sz="0" w:space="0" w:color="auto"/>
        <w:bottom w:val="none" w:sz="0" w:space="0" w:color="auto"/>
        <w:right w:val="none" w:sz="0" w:space="0" w:color="auto"/>
      </w:divBdr>
    </w:div>
    <w:div w:id="811942430">
      <w:bodyDiv w:val="1"/>
      <w:marLeft w:val="0"/>
      <w:marRight w:val="0"/>
      <w:marTop w:val="0"/>
      <w:marBottom w:val="0"/>
      <w:divBdr>
        <w:top w:val="none" w:sz="0" w:space="0" w:color="auto"/>
        <w:left w:val="none" w:sz="0" w:space="0" w:color="auto"/>
        <w:bottom w:val="none" w:sz="0" w:space="0" w:color="auto"/>
        <w:right w:val="none" w:sz="0" w:space="0" w:color="auto"/>
      </w:divBdr>
    </w:div>
    <w:div w:id="1303391412">
      <w:bodyDiv w:val="1"/>
      <w:marLeft w:val="0"/>
      <w:marRight w:val="0"/>
      <w:marTop w:val="0"/>
      <w:marBottom w:val="0"/>
      <w:divBdr>
        <w:top w:val="none" w:sz="0" w:space="0" w:color="auto"/>
        <w:left w:val="none" w:sz="0" w:space="0" w:color="auto"/>
        <w:bottom w:val="none" w:sz="0" w:space="0" w:color="auto"/>
        <w:right w:val="none" w:sz="0" w:space="0" w:color="auto"/>
      </w:divBdr>
    </w:div>
    <w:div w:id="1324696993">
      <w:bodyDiv w:val="1"/>
      <w:marLeft w:val="0"/>
      <w:marRight w:val="0"/>
      <w:marTop w:val="0"/>
      <w:marBottom w:val="0"/>
      <w:divBdr>
        <w:top w:val="none" w:sz="0" w:space="0" w:color="auto"/>
        <w:left w:val="none" w:sz="0" w:space="0" w:color="auto"/>
        <w:bottom w:val="none" w:sz="0" w:space="0" w:color="auto"/>
        <w:right w:val="none" w:sz="0" w:space="0" w:color="auto"/>
      </w:divBdr>
    </w:div>
    <w:div w:id="1376544080">
      <w:bodyDiv w:val="1"/>
      <w:marLeft w:val="0"/>
      <w:marRight w:val="0"/>
      <w:marTop w:val="0"/>
      <w:marBottom w:val="0"/>
      <w:divBdr>
        <w:top w:val="none" w:sz="0" w:space="0" w:color="auto"/>
        <w:left w:val="none" w:sz="0" w:space="0" w:color="auto"/>
        <w:bottom w:val="none" w:sz="0" w:space="0" w:color="auto"/>
        <w:right w:val="none" w:sz="0" w:space="0" w:color="auto"/>
      </w:divBdr>
    </w:div>
    <w:div w:id="1486510151">
      <w:bodyDiv w:val="1"/>
      <w:marLeft w:val="0"/>
      <w:marRight w:val="0"/>
      <w:marTop w:val="0"/>
      <w:marBottom w:val="0"/>
      <w:divBdr>
        <w:top w:val="none" w:sz="0" w:space="0" w:color="auto"/>
        <w:left w:val="none" w:sz="0" w:space="0" w:color="auto"/>
        <w:bottom w:val="none" w:sz="0" w:space="0" w:color="auto"/>
        <w:right w:val="none" w:sz="0" w:space="0" w:color="auto"/>
      </w:divBdr>
    </w:div>
    <w:div w:id="1618173068">
      <w:bodyDiv w:val="1"/>
      <w:marLeft w:val="0"/>
      <w:marRight w:val="0"/>
      <w:marTop w:val="0"/>
      <w:marBottom w:val="0"/>
      <w:divBdr>
        <w:top w:val="none" w:sz="0" w:space="0" w:color="auto"/>
        <w:left w:val="none" w:sz="0" w:space="0" w:color="auto"/>
        <w:bottom w:val="none" w:sz="0" w:space="0" w:color="auto"/>
        <w:right w:val="none" w:sz="0" w:space="0" w:color="auto"/>
      </w:divBdr>
    </w:div>
    <w:div w:id="1645233334">
      <w:bodyDiv w:val="1"/>
      <w:marLeft w:val="0"/>
      <w:marRight w:val="0"/>
      <w:marTop w:val="0"/>
      <w:marBottom w:val="0"/>
      <w:divBdr>
        <w:top w:val="none" w:sz="0" w:space="0" w:color="auto"/>
        <w:left w:val="none" w:sz="0" w:space="0" w:color="auto"/>
        <w:bottom w:val="none" w:sz="0" w:space="0" w:color="auto"/>
        <w:right w:val="none" w:sz="0" w:space="0" w:color="auto"/>
      </w:divBdr>
    </w:div>
    <w:div w:id="1679379968">
      <w:bodyDiv w:val="1"/>
      <w:marLeft w:val="0"/>
      <w:marRight w:val="0"/>
      <w:marTop w:val="0"/>
      <w:marBottom w:val="0"/>
      <w:divBdr>
        <w:top w:val="none" w:sz="0" w:space="0" w:color="auto"/>
        <w:left w:val="none" w:sz="0" w:space="0" w:color="auto"/>
        <w:bottom w:val="none" w:sz="0" w:space="0" w:color="auto"/>
        <w:right w:val="none" w:sz="0" w:space="0" w:color="auto"/>
      </w:divBdr>
    </w:div>
    <w:div w:id="177820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tbreit.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edarplu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darplus.com"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346EAA41CB3545A5A71460ABA35637" ma:contentTypeVersion="8" ma:contentTypeDescription="Crée un document." ma:contentTypeScope="" ma:versionID="b574beff3c3457fd43a564a310a9c26c">
  <xsd:schema xmlns:xsd="http://www.w3.org/2001/XMLSchema" xmlns:xs="http://www.w3.org/2001/XMLSchema" xmlns:p="http://schemas.microsoft.com/office/2006/metadata/properties" xmlns:ns3="bb72bd16-1d0e-4119-a802-6f5b95148546" targetNamespace="http://schemas.microsoft.com/office/2006/metadata/properties" ma:root="true" ma:fieldsID="f067ee24c3bc5923c8202e81eb769793" ns3:_="">
    <xsd:import namespace="bb72bd16-1d0e-4119-a802-6f5b9514854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2bd16-1d0e-4119-a802-6f5b95148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9375F-C921-4E88-92F0-D38CD516BD56}">
  <ds:schemaRefs>
    <ds:schemaRef ds:uri="http://schemas.openxmlformats.org/officeDocument/2006/bibliography"/>
  </ds:schemaRefs>
</ds:datastoreItem>
</file>

<file path=customXml/itemProps2.xml><?xml version="1.0" encoding="utf-8"?>
<ds:datastoreItem xmlns:ds="http://schemas.openxmlformats.org/officeDocument/2006/customXml" ds:itemID="{59573EB3-19E2-4F21-B8F6-6F1E860862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7A1B75-3BAF-4AC5-B1D0-5C53B603449C}">
  <ds:schemaRefs>
    <ds:schemaRef ds:uri="http://schemas.microsoft.com/sharepoint/v3/contenttype/forms"/>
  </ds:schemaRefs>
</ds:datastoreItem>
</file>

<file path=customXml/itemProps4.xml><?xml version="1.0" encoding="utf-8"?>
<ds:datastoreItem xmlns:ds="http://schemas.openxmlformats.org/officeDocument/2006/customXml" ds:itemID="{AE14C957-55B4-4C88-9D88-F9F3F0F3A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2bd16-1d0e-4119-a802-6f5b95148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1088</Words>
  <Characters>6202</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Léonard, B.Comm</dc:creator>
  <cp:keywords/>
  <dc:description/>
  <cp:lastModifiedBy>Lavallee, Jerome</cp:lastModifiedBy>
  <cp:revision>5</cp:revision>
  <cp:lastPrinted>2025-01-08T23:47:00Z</cp:lastPrinted>
  <dcterms:created xsi:type="dcterms:W3CDTF">2025-01-15T15:59:00Z</dcterms:created>
  <dcterms:modified xsi:type="dcterms:W3CDTF">2025-01-15T16:12:00Z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0x01010021346EAA41CB3545A5A71460ABA35637</vt:lpwstr>
  </property>
</Properties>
</file>